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90" w:lineRule="exact"/>
        <w:ind w:left="0" w:leftChars="0" w:right="0"/>
        <w:jc w:val="center"/>
        <w:textAlignment w:val="auto"/>
        <w:rPr>
          <w:rFonts w:hint="default"/>
          <w:sz w:val="44"/>
          <w:szCs w:val="44"/>
        </w:rPr>
      </w:pPr>
      <w:r>
        <w:rPr>
          <w:rFonts w:hint="eastAsia" w:ascii="方正小标宋简体" w:hAnsi="方正小标宋简体" w:eastAsia="方正小标宋简体" w:cs="方正小标宋简体"/>
          <w:b w:val="0"/>
          <w:bCs w:val="0"/>
          <w:sz w:val="44"/>
          <w:szCs w:val="44"/>
          <w:lang w:eastAsia="zh-CN"/>
        </w:rPr>
        <w:t>全</w:t>
      </w:r>
      <w:r>
        <w:rPr>
          <w:rFonts w:ascii="方正小标宋简体" w:hAnsi="方正小标宋简体" w:eastAsia="方正小标宋简体" w:cs="方正小标宋简体"/>
          <w:b w:val="0"/>
          <w:bCs w:val="0"/>
          <w:sz w:val="44"/>
          <w:szCs w:val="44"/>
        </w:rPr>
        <w:t>省</w:t>
      </w:r>
      <w:r>
        <w:rPr>
          <w:rFonts w:hint="default" w:ascii="方正小标宋简体" w:hAnsi="方正小标宋简体" w:eastAsia="方正小标宋简体" w:cs="方正小标宋简体"/>
          <w:b w:val="0"/>
          <w:bCs w:val="0"/>
          <w:sz w:val="44"/>
          <w:szCs w:val="44"/>
        </w:rPr>
        <w:t>生猪产能调控实施方案（暂行）</w:t>
      </w:r>
    </w:p>
    <w:p>
      <w:pPr>
        <w:pStyle w:val="4"/>
        <w:keepNext w:val="0"/>
        <w:keepLines w:val="0"/>
        <w:pageBreakBefore w:val="0"/>
        <w:widowControl/>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auto"/>
        <w:rPr>
          <w:rFonts w:ascii="仿宋_GB2312" w:hAnsi="楷体_GB2312" w:eastAsia="仿宋_GB2312" w:cs="楷体_GB2312"/>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楷体_GB2312" w:eastAsia="仿宋_GB2312" w:cs="楷体_GB2312"/>
          <w:color w:val="auto"/>
          <w:kern w:val="0"/>
          <w:sz w:val="32"/>
          <w:szCs w:val="32"/>
        </w:rPr>
      </w:pPr>
      <w:r>
        <w:rPr>
          <w:rFonts w:hint="eastAsia" w:ascii="仿宋_GB2312" w:hAnsi="楷体_GB2312" w:eastAsia="仿宋_GB2312" w:cs="楷体_GB2312"/>
          <w:color w:val="auto"/>
          <w:kern w:val="0"/>
          <w:sz w:val="32"/>
          <w:szCs w:val="32"/>
        </w:rPr>
        <w:t>为了全面贯彻落实国家</w:t>
      </w:r>
      <w:r>
        <w:rPr>
          <w:rFonts w:hint="eastAsia" w:ascii="仿宋_GB2312" w:hAnsi="楷体_GB2312" w:eastAsia="仿宋_GB2312" w:cs="楷体_GB2312"/>
          <w:color w:val="auto"/>
          <w:kern w:val="0"/>
          <w:sz w:val="32"/>
          <w:szCs w:val="32"/>
          <w:lang w:eastAsia="zh-CN"/>
        </w:rPr>
        <w:t>生猪</w:t>
      </w:r>
      <w:r>
        <w:rPr>
          <w:rFonts w:hint="eastAsia" w:ascii="仿宋_GB2312" w:hAnsi="楷体_GB2312" w:eastAsia="仿宋_GB2312" w:cs="楷体_GB2312"/>
          <w:color w:val="auto"/>
          <w:kern w:val="0"/>
          <w:sz w:val="32"/>
          <w:szCs w:val="32"/>
        </w:rPr>
        <w:t>稳产保供要求，</w:t>
      </w:r>
      <w:r>
        <w:rPr>
          <w:rFonts w:ascii="仿宋_GB2312" w:hAnsi="楷体_GB2312" w:eastAsia="仿宋_GB2312" w:cs="楷体_GB2312"/>
          <w:color w:val="auto"/>
          <w:kern w:val="0"/>
          <w:sz w:val="32"/>
          <w:szCs w:val="32"/>
        </w:rPr>
        <w:t>稳固</w:t>
      </w:r>
      <w:r>
        <w:rPr>
          <w:rFonts w:hint="eastAsia" w:ascii="仿宋_GB2312" w:hAnsi="楷体_GB2312" w:eastAsia="仿宋_GB2312" w:cs="楷体_GB2312"/>
          <w:color w:val="auto"/>
          <w:kern w:val="0"/>
          <w:sz w:val="32"/>
          <w:szCs w:val="32"/>
        </w:rPr>
        <w:t>我省生猪</w:t>
      </w:r>
      <w:r>
        <w:rPr>
          <w:rFonts w:ascii="仿宋_GB2312" w:hAnsi="楷体_GB2312" w:eastAsia="仿宋_GB2312" w:cs="楷体_GB2312"/>
          <w:color w:val="auto"/>
          <w:kern w:val="0"/>
          <w:sz w:val="32"/>
          <w:szCs w:val="32"/>
        </w:rPr>
        <w:t>基础生产能力，有效防止生猪产能大幅波动，</w:t>
      </w:r>
      <w:r>
        <w:rPr>
          <w:rFonts w:hint="eastAsia" w:ascii="仿宋_GB2312" w:hAnsi="楷体_GB2312" w:eastAsia="仿宋_GB2312" w:cs="楷体_GB2312"/>
          <w:color w:val="auto"/>
          <w:kern w:val="0"/>
          <w:sz w:val="32"/>
          <w:szCs w:val="32"/>
        </w:rPr>
        <w:t>促进生猪产业持续健康发展，根据</w:t>
      </w:r>
      <w:r>
        <w:rPr>
          <w:rFonts w:ascii="仿宋_GB2312" w:hAnsi="楷体_GB2312" w:eastAsia="仿宋_GB2312" w:cs="楷体_GB2312"/>
          <w:color w:val="auto"/>
          <w:kern w:val="0"/>
          <w:sz w:val="32"/>
          <w:szCs w:val="32"/>
        </w:rPr>
        <w:t>《</w:t>
      </w:r>
      <w:r>
        <w:rPr>
          <w:rFonts w:hint="eastAsia" w:ascii="仿宋_GB2312" w:hAnsi="楷体_GB2312" w:eastAsia="仿宋_GB2312" w:cs="楷体_GB2312"/>
          <w:color w:val="auto"/>
          <w:kern w:val="0"/>
          <w:sz w:val="32"/>
          <w:szCs w:val="32"/>
        </w:rPr>
        <w:t>农业农村部&lt;关于印发生猪产能调控实施方案（暂行）&gt;的通知</w:t>
      </w:r>
      <w:r>
        <w:rPr>
          <w:rFonts w:ascii="仿宋_GB2312" w:hAnsi="楷体_GB2312" w:eastAsia="仿宋_GB2312" w:cs="楷体_GB2312"/>
          <w:color w:val="auto"/>
          <w:kern w:val="0"/>
          <w:sz w:val="32"/>
          <w:szCs w:val="32"/>
        </w:rPr>
        <w:t>》</w:t>
      </w:r>
      <w:r>
        <w:rPr>
          <w:rFonts w:hint="eastAsia" w:ascii="仿宋_GB2312" w:hAnsi="楷体_GB2312" w:eastAsia="仿宋_GB2312" w:cs="楷体_GB2312"/>
          <w:color w:val="auto"/>
          <w:kern w:val="0"/>
          <w:sz w:val="32"/>
          <w:szCs w:val="32"/>
        </w:rPr>
        <w:t>（农牧发〔2021〕27号）要求</w:t>
      </w:r>
      <w:r>
        <w:rPr>
          <w:rFonts w:ascii="仿宋_GB2312" w:hAnsi="楷体_GB2312" w:eastAsia="仿宋_GB2312" w:cs="楷体_GB2312"/>
          <w:color w:val="auto"/>
          <w:kern w:val="0"/>
          <w:sz w:val="32"/>
          <w:szCs w:val="32"/>
        </w:rPr>
        <w:t>，制定本实施方案。</w:t>
      </w:r>
    </w:p>
    <w:p>
      <w:pPr>
        <w:pStyle w:val="4"/>
        <w:keepNext w:val="0"/>
        <w:keepLines w:val="0"/>
        <w:pageBreakBefore w:val="0"/>
        <w:widowControl/>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一、总体要求</w:t>
      </w:r>
      <w:r>
        <w:rPr>
          <w:rFonts w:hint="eastAsia" w:ascii="黑体" w:hAnsi="黑体" w:eastAsia="黑体" w:cs="黑体"/>
          <w:color w:val="auto"/>
          <w:sz w:val="32"/>
          <w:szCs w:val="32"/>
          <w:lang w:eastAsia="zh-CN"/>
        </w:rPr>
        <w:t>和调控目标</w:t>
      </w:r>
    </w:p>
    <w:p>
      <w:pPr>
        <w:pStyle w:val="4"/>
        <w:keepNext w:val="0"/>
        <w:keepLines w:val="0"/>
        <w:pageBreakBefore w:val="0"/>
        <w:widowControl/>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auto"/>
        <w:rPr>
          <w:rFonts w:hint="eastAsia" w:ascii="仿宋_GB2312" w:hAnsi="楷体_GB2312" w:eastAsia="仿宋_GB2312" w:cs="楷体_GB2312"/>
          <w:color w:val="auto"/>
          <w:kern w:val="0"/>
          <w:sz w:val="32"/>
          <w:szCs w:val="32"/>
          <w:lang w:val="en-US" w:eastAsia="zh-CN" w:bidi="ar-SA"/>
        </w:rPr>
      </w:pPr>
      <w:r>
        <w:rPr>
          <w:rFonts w:hint="eastAsia" w:ascii="楷体_GB2312" w:hAnsi="楷体_GB2312" w:eastAsia="楷体_GB2312" w:cs="楷体_GB2312"/>
          <w:color w:val="auto"/>
          <w:sz w:val="32"/>
          <w:szCs w:val="32"/>
          <w:lang w:eastAsia="zh-CN"/>
        </w:rPr>
        <w:t>（一）总体要求。</w:t>
      </w:r>
      <w:r>
        <w:rPr>
          <w:rFonts w:hint="eastAsia" w:ascii="仿宋_GB2312" w:hAnsi="楷体_GB2312" w:eastAsia="仿宋_GB2312" w:cs="楷体_GB2312"/>
          <w:color w:val="auto"/>
          <w:kern w:val="0"/>
          <w:sz w:val="32"/>
          <w:szCs w:val="32"/>
          <w:lang w:val="en-US" w:eastAsia="zh-CN" w:bidi="ar-SA"/>
        </w:rPr>
        <w:t>紧紧围绕生猪产业持续健康发展，建立以稳定能繁母猪存栏量为目标的生猪产能调控机制，坚持预警为主、调控兜底、及时介入、精准施策、力保稳定的原则，落实生猪稳产保供“菜篮子”市长负责制，逐级压实责任，突出抓好养殖大县、养殖大场，确保能繁母猪存栏量、规模猪场数量稳定，构建上下联动、响应及时的生猪生产逆周期调控机制，不断提升猪肉供应安全保障能力。</w:t>
      </w: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firstLine="640" w:firstLineChars="200"/>
        <w:jc w:val="both"/>
        <w:rPr>
          <w:rFonts w:hint="eastAsia" w:ascii="仿宋_GB2312" w:hAnsi="楷体_GB2312" w:eastAsia="仿宋_GB2312" w:cs="楷体_GB2312"/>
          <w:color w:val="auto"/>
          <w:kern w:val="0"/>
          <w:sz w:val="32"/>
          <w:szCs w:val="32"/>
          <w:lang w:val="en-US" w:eastAsia="zh-CN" w:bidi="ar-SA"/>
        </w:rPr>
      </w:pPr>
      <w:r>
        <w:rPr>
          <w:rFonts w:hint="eastAsia" w:ascii="楷体_GB2312" w:hAnsi="楷体_GB2312" w:eastAsia="楷体_GB2312" w:cs="楷体_GB2312"/>
          <w:color w:val="auto"/>
          <w:sz w:val="32"/>
          <w:szCs w:val="32"/>
          <w:lang w:eastAsia="zh-CN"/>
        </w:rPr>
        <w:t>（二）调控目标。</w:t>
      </w:r>
      <w:r>
        <w:rPr>
          <w:rFonts w:ascii="仿宋_GB2312" w:hAnsi="楷体_GB2312" w:eastAsia="仿宋_GB2312" w:cs="楷体_GB2312"/>
          <w:color w:val="auto"/>
          <w:sz w:val="32"/>
          <w:szCs w:val="32"/>
        </w:rPr>
        <w:t>“</w:t>
      </w:r>
      <w:r>
        <w:rPr>
          <w:rFonts w:hint="eastAsia" w:ascii="仿宋_GB2312" w:hAnsi="楷体_GB2312" w:eastAsia="仿宋_GB2312" w:cs="楷体_GB2312"/>
          <w:color w:val="auto"/>
          <w:kern w:val="0"/>
          <w:sz w:val="32"/>
          <w:szCs w:val="32"/>
          <w:lang w:val="en-US" w:eastAsia="zh-CN" w:bidi="ar-SA"/>
        </w:rPr>
        <w:t>十四五”期间，全省能繁母猪正常保有量稳定在55万头左右，最低保有量不低于49.5万头；规模猪场（户）数量总体稳定在3900个以上。</w:t>
      </w: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二</w:t>
      </w:r>
      <w:r>
        <w:rPr>
          <w:rFonts w:ascii="黑体" w:hAnsi="黑体" w:eastAsia="黑体" w:cs="黑体"/>
          <w:color w:val="auto"/>
          <w:sz w:val="32"/>
          <w:szCs w:val="32"/>
        </w:rPr>
        <w:t>、调控能繁母猪存栏量 </w:t>
      </w: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firstLine="640" w:firstLineChars="200"/>
        <w:jc w:val="both"/>
        <w:rPr>
          <w:rFonts w:hint="eastAsia" w:ascii="仿宋_GB2312" w:hAnsi="楷体_GB2312" w:eastAsia="仿宋_GB2312" w:cs="楷体_GB2312"/>
          <w:color w:val="auto"/>
          <w:kern w:val="0"/>
          <w:sz w:val="32"/>
          <w:szCs w:val="32"/>
          <w:lang w:val="en-US" w:eastAsia="zh-CN" w:bidi="ar-SA"/>
        </w:rPr>
      </w:pPr>
      <w:r>
        <w:rPr>
          <w:rFonts w:hint="eastAsia" w:ascii="楷体_GB2312" w:hAnsi="楷体_GB2312" w:eastAsia="楷体_GB2312" w:cs="楷体_GB2312"/>
          <w:color w:val="auto"/>
          <w:sz w:val="32"/>
          <w:szCs w:val="32"/>
        </w:rPr>
        <w:t>（一）确定能繁母猪保有量 </w:t>
      </w:r>
      <w:r>
        <w:rPr>
          <w:rFonts w:hint="eastAsia" w:ascii="楷体_GB2312" w:hAnsi="楷体_GB2312" w:eastAsia="楷体_GB2312" w:cs="楷体_GB2312"/>
          <w:color w:val="auto"/>
          <w:sz w:val="32"/>
          <w:szCs w:val="32"/>
          <w:lang w:eastAsia="zh-CN"/>
        </w:rPr>
        <w:t>。</w:t>
      </w:r>
      <w:r>
        <w:rPr>
          <w:rFonts w:hint="eastAsia" w:ascii="仿宋_GB2312" w:hAnsi="楷体_GB2312" w:eastAsia="仿宋_GB2312" w:cs="楷体_GB2312"/>
          <w:color w:val="auto"/>
          <w:kern w:val="0"/>
          <w:sz w:val="32"/>
          <w:szCs w:val="32"/>
          <w:lang w:val="en-US" w:eastAsia="zh-CN" w:bidi="ar-SA"/>
        </w:rPr>
        <w:t>以2021年生猪存栏目标为基本依据确定各市能繁母猪正常保有量，以能繁母猪正常保有量的90%为标准，确定最低保有量（见附1）。各市能繁母猪月度存栏量以国家统计局山西省调查总队季度数据为基数，根据农业农村部监测数据测算得出。 </w:t>
      </w: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firstLine="640" w:firstLineChars="200"/>
        <w:jc w:val="both"/>
        <w:rPr>
          <w:rFonts w:hint="eastAsia" w:ascii="仿宋_GB2312" w:hAnsi="楷体_GB2312" w:eastAsia="仿宋_GB2312" w:cs="楷体_GB2312"/>
          <w:color w:val="auto"/>
          <w:spacing w:val="6"/>
          <w:kern w:val="0"/>
          <w:sz w:val="32"/>
          <w:szCs w:val="32"/>
          <w:lang w:val="en-US" w:eastAsia="zh-CN" w:bidi="ar-SA"/>
        </w:rPr>
      </w:pPr>
      <w:r>
        <w:rPr>
          <w:rFonts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建立以能繁母猪波动为核心的绿黄红调控区域。</w:t>
      </w:r>
      <w:r>
        <w:rPr>
          <w:rFonts w:hint="eastAsia" w:ascii="仿宋_GB2312" w:hAnsi="楷体_GB2312" w:eastAsia="仿宋_GB2312" w:cs="楷体_GB2312"/>
          <w:color w:val="auto"/>
          <w:spacing w:val="6"/>
          <w:kern w:val="0"/>
          <w:sz w:val="32"/>
          <w:szCs w:val="32"/>
          <w:lang w:val="en-US" w:eastAsia="zh-CN" w:bidi="ar-SA"/>
        </w:rPr>
        <w:t>根据生猪产能波动情况，建立绿色、黄色和红色3个调控区域。绿色区域为产能正常波动区，能繁母猪月度存栏量处于正常保有量的95%—105%区间（含95%和105%两个临界值）；黄色区域为产能大幅波动区，能繁母猪月度存栏量处于正常保有量的90%—95%和105%—110%区间（含90%和110%两个临界值）；红色区域为产能过度波动区，能繁母猪存栏量低于正常存栏量的90%或高于正常存栏量的110%。产能正常波动时，以市场调节为主，不需要启动调控措施，保持监测预警工作常态化，定期发布监测动态信息。 </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楷体_GB2312" w:eastAsia="仿宋_GB2312" w:cs="楷体_GB2312"/>
          <w:color w:val="auto"/>
          <w:spacing w:val="11"/>
          <w:kern w:val="0"/>
          <w:sz w:val="32"/>
          <w:szCs w:val="32"/>
          <w:lang w:val="en-US" w:eastAsia="zh-CN" w:bidi="ar-SA"/>
        </w:rPr>
      </w:pPr>
      <w:r>
        <w:rPr>
          <w:rFonts w:hint="eastAsia" w:ascii="楷体_GB2312" w:hAnsi="楷体_GB2312" w:eastAsia="楷体_GB2312" w:cs="楷体_GB2312"/>
          <w:color w:val="auto"/>
          <w:sz w:val="32"/>
          <w:szCs w:val="32"/>
          <w:lang w:val="en-US" w:eastAsia="zh-CN"/>
        </w:rPr>
        <w:t>（三）产能大幅波动调控。</w:t>
      </w:r>
      <w:r>
        <w:rPr>
          <w:rFonts w:hint="eastAsia" w:ascii="仿宋_GB2312" w:hAnsi="楷体_GB2312" w:eastAsia="仿宋_GB2312" w:cs="楷体_GB2312"/>
          <w:color w:val="auto"/>
          <w:spacing w:val="11"/>
          <w:kern w:val="0"/>
          <w:sz w:val="32"/>
          <w:szCs w:val="32"/>
          <w:lang w:val="en-US" w:eastAsia="zh-CN" w:bidi="ar-SA"/>
        </w:rPr>
        <w:t>当能繁母猪月度存栏量处于正常保有量的90%—95%区间（含90%的临界值）时，</w:t>
      </w:r>
      <w:r>
        <w:rPr>
          <w:rFonts w:hint="eastAsia" w:ascii="仿宋_GB2312" w:hAnsi="楷体_GB2312" w:eastAsia="仿宋_GB2312" w:cs="楷体_GB2312"/>
          <w:b/>
          <w:bCs/>
          <w:color w:val="auto"/>
          <w:spacing w:val="11"/>
          <w:kern w:val="0"/>
          <w:sz w:val="32"/>
          <w:szCs w:val="32"/>
          <w:lang w:val="en-US" w:eastAsia="zh-CN" w:bidi="ar-SA"/>
        </w:rPr>
        <w:t>一是启动临时救助补助。</w:t>
      </w:r>
      <w:r>
        <w:rPr>
          <w:rFonts w:hint="eastAsia" w:ascii="仿宋_GB2312" w:hAnsi="楷体_GB2312" w:eastAsia="仿宋_GB2312" w:cs="楷体_GB2312"/>
          <w:color w:val="auto"/>
          <w:spacing w:val="11"/>
          <w:kern w:val="0"/>
          <w:sz w:val="32"/>
          <w:szCs w:val="32"/>
          <w:lang w:val="en-US" w:eastAsia="zh-CN" w:bidi="ar-SA"/>
        </w:rPr>
        <w:t>各市可按规定统筹相关资金对规模猪场（户）给予一次性补贴。</w:t>
      </w:r>
      <w:r>
        <w:rPr>
          <w:rFonts w:hint="eastAsia" w:ascii="仿宋_GB2312" w:hAnsi="楷体_GB2312" w:eastAsia="仿宋_GB2312" w:cs="楷体_GB2312"/>
          <w:b/>
          <w:bCs/>
          <w:color w:val="auto"/>
          <w:spacing w:val="11"/>
          <w:kern w:val="0"/>
          <w:sz w:val="32"/>
          <w:szCs w:val="32"/>
          <w:lang w:val="en-US" w:eastAsia="zh-CN" w:bidi="ar-SA"/>
        </w:rPr>
        <w:t>二是加强监测预警。</w:t>
      </w:r>
      <w:r>
        <w:rPr>
          <w:rFonts w:hint="eastAsia" w:ascii="仿宋_GB2312" w:hAnsi="楷体_GB2312" w:eastAsia="仿宋_GB2312" w:cs="楷体_GB2312"/>
          <w:color w:val="auto"/>
          <w:spacing w:val="11"/>
          <w:kern w:val="0"/>
          <w:sz w:val="32"/>
          <w:szCs w:val="32"/>
          <w:lang w:val="en-US" w:eastAsia="zh-CN" w:bidi="ar-SA"/>
        </w:rPr>
        <w:t>各市要强化年出栏20万头以上的养殖大县能繁母猪存栏量监测调度，及时发布监测动态信息，引导市场预期，增加能繁母猪饲养。</w:t>
      </w:r>
      <w:r>
        <w:rPr>
          <w:rFonts w:hint="eastAsia" w:ascii="仿宋_GB2312" w:hAnsi="楷体_GB2312" w:eastAsia="仿宋_GB2312" w:cs="楷体_GB2312"/>
          <w:b/>
          <w:bCs/>
          <w:color w:val="auto"/>
          <w:spacing w:val="11"/>
          <w:kern w:val="0"/>
          <w:sz w:val="32"/>
          <w:szCs w:val="32"/>
          <w:lang w:val="en-US" w:eastAsia="zh-CN" w:bidi="ar-SA"/>
        </w:rPr>
        <w:t>三是启动增产调节机制。</w:t>
      </w:r>
      <w:r>
        <w:rPr>
          <w:rFonts w:hint="eastAsia" w:ascii="仿宋_GB2312" w:hAnsi="楷体_GB2312" w:eastAsia="仿宋_GB2312" w:cs="楷体_GB2312"/>
          <w:color w:val="auto"/>
          <w:spacing w:val="11"/>
          <w:kern w:val="0"/>
          <w:sz w:val="32"/>
          <w:szCs w:val="32"/>
          <w:lang w:val="en-US" w:eastAsia="zh-CN" w:bidi="ar-SA"/>
        </w:rPr>
        <w:t>由市、县人民政府引导和督促生猪产能调控基地减缓淘汰能繁母猪，增加补栏，稳定和增加产能。</w:t>
      </w:r>
      <w:r>
        <w:rPr>
          <w:rFonts w:hint="eastAsia" w:ascii="仿宋_GB2312" w:hAnsi="楷体_GB2312" w:eastAsia="仿宋_GB2312" w:cs="楷体_GB2312"/>
          <w:b/>
          <w:bCs/>
          <w:color w:val="auto"/>
          <w:spacing w:val="11"/>
          <w:kern w:val="0"/>
          <w:sz w:val="32"/>
          <w:szCs w:val="32"/>
          <w:lang w:val="en-US" w:eastAsia="zh-CN" w:bidi="ar-SA"/>
        </w:rPr>
        <w:t>四是发预警函。</w:t>
      </w:r>
      <w:r>
        <w:rPr>
          <w:rFonts w:hint="eastAsia" w:ascii="仿宋_GB2312" w:hAnsi="楷体_GB2312" w:eastAsia="仿宋_GB2312" w:cs="楷体_GB2312"/>
          <w:color w:val="auto"/>
          <w:spacing w:val="11"/>
          <w:kern w:val="0"/>
          <w:sz w:val="32"/>
          <w:szCs w:val="32"/>
          <w:lang w:val="en-US" w:eastAsia="zh-CN" w:bidi="ar-SA"/>
        </w:rPr>
        <w:t>省农业农村厅视情况向能繁母猪存栏量降幅较大的市级人民政府发预警函，市级要及时采取必要应对措施，使能繁母猪存栏量增加至合理水平。市级和县级农业农村部门要建立相应的预警机制。当能繁母猪月度存栏量处于正常保有量的105%—110%区间（含110%的临界值）时，</w:t>
      </w:r>
      <w:r>
        <w:rPr>
          <w:rFonts w:hint="eastAsia" w:ascii="仿宋_GB2312" w:hAnsi="楷体_GB2312" w:eastAsia="仿宋_GB2312" w:cs="楷体_GB2312"/>
          <w:b/>
          <w:bCs/>
          <w:color w:val="auto"/>
          <w:spacing w:val="11"/>
          <w:kern w:val="0"/>
          <w:sz w:val="32"/>
          <w:szCs w:val="32"/>
          <w:lang w:val="en-US" w:eastAsia="zh-CN" w:bidi="ar-SA"/>
        </w:rPr>
        <w:t>一是加强监测预警。</w:t>
      </w:r>
      <w:r>
        <w:rPr>
          <w:rFonts w:hint="eastAsia" w:ascii="仿宋_GB2312" w:hAnsi="楷体_GB2312" w:eastAsia="仿宋_GB2312" w:cs="楷体_GB2312"/>
          <w:color w:val="auto"/>
          <w:spacing w:val="11"/>
          <w:kern w:val="0"/>
          <w:sz w:val="32"/>
          <w:szCs w:val="32"/>
          <w:lang w:val="en-US" w:eastAsia="zh-CN" w:bidi="ar-SA"/>
        </w:rPr>
        <w:t>强化年出栏20万头以上的养殖大县能繁母猪存栏量监测调度，及时发布监测动态信息，引导市场预期，适度减少能繁母猪存栏量。</w:t>
      </w:r>
      <w:r>
        <w:rPr>
          <w:rFonts w:hint="eastAsia" w:ascii="仿宋_GB2312" w:hAnsi="楷体_GB2312" w:eastAsia="仿宋_GB2312" w:cs="楷体_GB2312"/>
          <w:b/>
          <w:bCs/>
          <w:color w:val="auto"/>
          <w:spacing w:val="11"/>
          <w:kern w:val="0"/>
          <w:sz w:val="32"/>
          <w:szCs w:val="32"/>
          <w:lang w:val="en-US" w:eastAsia="zh-CN" w:bidi="ar-SA"/>
        </w:rPr>
        <w:t>二是启动减少产能调节机制。</w:t>
      </w:r>
      <w:r>
        <w:rPr>
          <w:rFonts w:hint="eastAsia" w:ascii="仿宋_GB2312" w:hAnsi="楷体_GB2312" w:eastAsia="仿宋_GB2312" w:cs="楷体_GB2312"/>
          <w:color w:val="auto"/>
          <w:spacing w:val="11"/>
          <w:kern w:val="0"/>
          <w:sz w:val="32"/>
          <w:szCs w:val="32"/>
          <w:lang w:val="en-US" w:eastAsia="zh-CN" w:bidi="ar-SA"/>
        </w:rPr>
        <w:t>由市、县人民政府引导和督促生猪产能调控基地采取延迟能繁母猪补栏、加快淘汰低产母猪等措施，压减生猪产能，使能繁母猪下降至合理水平。 </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楷体_GB2312" w:eastAsia="仿宋_GB2312" w:cs="楷体_GB2312"/>
          <w:color w:val="auto"/>
          <w:kern w:val="0"/>
          <w:sz w:val="32"/>
          <w:szCs w:val="32"/>
          <w:lang w:val="en-US" w:eastAsia="zh-CN" w:bidi="ar-SA"/>
        </w:rPr>
      </w:pPr>
      <w:r>
        <w:rPr>
          <w:rFonts w:hint="eastAsia" w:ascii="楷体_GB2312" w:hAnsi="楷体_GB2312" w:eastAsia="楷体_GB2312" w:cs="楷体_GB2312"/>
          <w:color w:val="auto"/>
          <w:sz w:val="32"/>
          <w:szCs w:val="32"/>
          <w:lang w:val="en-US" w:eastAsia="zh-CN"/>
        </w:rPr>
        <w:t>（四）产能过度波动调控。</w:t>
      </w:r>
      <w:r>
        <w:rPr>
          <w:rFonts w:hint="eastAsia" w:ascii="仿宋_GB2312" w:hAnsi="楷体_GB2312" w:eastAsia="仿宋_GB2312" w:cs="楷体_GB2312"/>
          <w:color w:val="auto"/>
          <w:kern w:val="0"/>
          <w:sz w:val="32"/>
          <w:szCs w:val="32"/>
          <w:lang w:val="en-US" w:eastAsia="zh-CN" w:bidi="ar-SA"/>
        </w:rPr>
        <w:t>当能繁母猪存栏量低于正常存栏量的90%（最低保有量）时，加强增加产能引导。省农业农村厅向能繁母猪存栏量低于最低保有量且未采取调控措施或调控不力的市级人民政府发预警函，督促进一步采取补贴、信贷、贴息等政策措施，遏制产能下滑势头，恢复和增加能繁母猪饲养量。督促生猪产能调控基地增加补栏，稳定和增加产能。指导年出栏20万头以上的养殖大县增加能繁母猪饲养。当能繁母猪月度存栏量高于正常保有量的110%时，加强压减产能引导，加快淘汰低产能繁母猪。</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楷体_GB2312" w:eastAsia="仿宋_GB2312" w:cs="楷体_GB2312"/>
          <w:color w:val="auto"/>
          <w:kern w:val="0"/>
          <w:sz w:val="32"/>
          <w:szCs w:val="32"/>
          <w:lang w:val="en-US" w:eastAsia="zh-CN" w:bidi="ar-SA"/>
        </w:rPr>
      </w:pPr>
      <w:r>
        <w:rPr>
          <w:rFonts w:hint="eastAsia" w:ascii="楷体_GB2312" w:hAnsi="楷体_GB2312" w:eastAsia="楷体_GB2312" w:cs="楷体_GB2312"/>
          <w:color w:val="auto"/>
          <w:sz w:val="32"/>
          <w:szCs w:val="32"/>
          <w:lang w:val="en-US" w:eastAsia="zh-CN"/>
        </w:rPr>
        <w:t>（五）其他异常情况调控 。</w:t>
      </w:r>
      <w:r>
        <w:rPr>
          <w:rFonts w:hint="eastAsia" w:ascii="仿宋_GB2312" w:hAnsi="楷体_GB2312" w:eastAsia="仿宋_GB2312" w:cs="楷体_GB2312"/>
          <w:color w:val="auto"/>
          <w:kern w:val="0"/>
          <w:sz w:val="32"/>
          <w:szCs w:val="32"/>
          <w:lang w:val="en-US" w:eastAsia="zh-CN" w:bidi="ar-SA"/>
        </w:rPr>
        <w:t>能繁母猪存栏量在正常保有量的合理区间波动，但种猪生产供应、新生仔猪数量或生猪存栏量出现异常减少等情况时，市、县农业农村部门要会同有关部门、重点企业及时开展调查研究，综合研判并采取相关措施，必要时</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jc w:val="both"/>
        <w:textAlignment w:val="auto"/>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可制定临时性政策措施，报同级人民政府批准实施。 </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三、调控生猪规模养殖产能 </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仿宋_GB2312" w:hAnsi="楷体_GB2312" w:eastAsia="仿宋_GB2312" w:cs="楷体_GB2312"/>
          <w:color w:val="auto"/>
          <w:kern w:val="0"/>
          <w:sz w:val="32"/>
          <w:szCs w:val="32"/>
          <w:lang w:val="en-US" w:eastAsia="zh-CN" w:bidi="ar-SA"/>
        </w:rPr>
      </w:pPr>
      <w:r>
        <w:rPr>
          <w:rFonts w:ascii="楷体_GB2312" w:hAnsi="楷体_GB2312" w:eastAsia="楷体_GB2312" w:cs="楷体_GB2312"/>
          <w:color w:val="auto"/>
          <w:sz w:val="32"/>
          <w:szCs w:val="32"/>
        </w:rPr>
        <w:t>（一）确定规模猪场（户）保有量 </w:t>
      </w:r>
      <w:r>
        <w:rPr>
          <w:rFonts w:hint="eastAsia" w:ascii="楷体_GB2312" w:hAnsi="楷体_GB2312" w:eastAsia="楷体_GB2312" w:cs="楷体_GB2312"/>
          <w:color w:val="auto"/>
          <w:sz w:val="32"/>
          <w:szCs w:val="32"/>
          <w:lang w:eastAsia="zh-CN"/>
        </w:rPr>
        <w:t>。</w:t>
      </w:r>
      <w:r>
        <w:rPr>
          <w:rFonts w:hint="eastAsia" w:ascii="仿宋_GB2312" w:hAnsi="楷体_GB2312" w:eastAsia="仿宋_GB2312" w:cs="楷体_GB2312"/>
          <w:color w:val="auto"/>
          <w:kern w:val="0"/>
          <w:sz w:val="32"/>
          <w:szCs w:val="32"/>
          <w:lang w:val="en-US" w:eastAsia="zh-CN" w:bidi="ar-SA"/>
        </w:rPr>
        <w:t>根据农业农村部核定我省规模猪场（户）的保有量及2021年6月各市在全国生猪规模养殖场监测系统备案规模猪场（户）数量，确定各市规模猪场（户）保有量（见附1）。各市要保持规模猪场（户）数量总体稳定，不得随意拆除，确需拆除的，应安排养殖用地支持其异地重建，并给予合理补偿。规模猪场（户）自愿退出的，各地要根据减少的能繁母猪产能，新建或改扩建相应产能的规模猪场，确保生猪规模场产能总体稳定。 </w:t>
      </w:r>
    </w:p>
    <w:p>
      <w:pPr>
        <w:pStyle w:val="4"/>
        <w:keepNext w:val="0"/>
        <w:keepLines w:val="0"/>
        <w:pageBreakBefore w:val="0"/>
        <w:widowControl/>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auto"/>
        <w:rPr>
          <w:rFonts w:hint="eastAsia" w:ascii="仿宋_GB2312" w:hAnsi="楷体_GB2312" w:eastAsia="仿宋_GB2312" w:cs="楷体_GB2312"/>
          <w:color w:val="auto"/>
          <w:kern w:val="0"/>
          <w:sz w:val="32"/>
          <w:szCs w:val="32"/>
          <w:lang w:val="en-US" w:eastAsia="zh-CN" w:bidi="ar-SA"/>
        </w:rPr>
      </w:pPr>
      <w:r>
        <w:rPr>
          <w:rFonts w:ascii="楷体_GB2312" w:hAnsi="楷体_GB2312" w:eastAsia="楷体_GB2312" w:cs="楷体_GB2312"/>
          <w:color w:val="auto"/>
          <w:sz w:val="32"/>
          <w:szCs w:val="32"/>
        </w:rPr>
        <w:t>（二）建立产能调控基地 </w:t>
      </w:r>
      <w:r>
        <w:rPr>
          <w:rFonts w:hint="eastAsia" w:ascii="楷体_GB2312" w:hAnsi="楷体_GB2312" w:eastAsia="楷体_GB2312" w:cs="楷体_GB2312"/>
          <w:color w:val="auto"/>
          <w:sz w:val="32"/>
          <w:szCs w:val="32"/>
          <w:lang w:eastAsia="zh-CN"/>
        </w:rPr>
        <w:t>。</w:t>
      </w:r>
      <w:r>
        <w:rPr>
          <w:rFonts w:hint="eastAsia" w:ascii="仿宋_GB2312" w:hAnsi="楷体_GB2312" w:eastAsia="仿宋_GB2312" w:cs="楷体_GB2312"/>
          <w:color w:val="auto"/>
          <w:kern w:val="0"/>
          <w:sz w:val="32"/>
          <w:szCs w:val="32"/>
          <w:lang w:val="en-US" w:eastAsia="zh-CN" w:bidi="ar-SA"/>
        </w:rPr>
        <w:t>按照国家分级建立调控基地的要求，对年设计出栏10000头以上的规模猪场和国家生猪核心育种场，按照猪场自愿加入并配合开展产能调控的原则，建立国家级生猪产能调控基地并挂牌。对年设计出栏5000头以上的规模猪场，按照猪场自愿加入并配合开展产能调控的原则，建立省级生猪产能调控基地并挂牌。国家级和省级产能调控基地依法优先享受相关生猪生产政策性支持。调控基地首次挂牌工作将在2022年2月底前组织完成，此后每年2月底前完成上一年度新增基地挂牌和退出基地摘牌。各市可结合实际建立市级生猪产能调控基地并挂牌。</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四</w:t>
      </w:r>
      <w:r>
        <w:rPr>
          <w:rFonts w:ascii="黑体" w:hAnsi="黑体" w:eastAsia="黑体" w:cs="黑体"/>
          <w:color w:val="auto"/>
          <w:sz w:val="32"/>
          <w:szCs w:val="32"/>
        </w:rPr>
        <w:t>、保障措施 </w:t>
      </w:r>
    </w:p>
    <w:p>
      <w:pPr>
        <w:pStyle w:val="4"/>
        <w:keepNext w:val="0"/>
        <w:keepLines w:val="0"/>
        <w:pageBreakBefore w:val="0"/>
        <w:widowControl/>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auto"/>
        <w:rPr>
          <w:rFonts w:hint="eastAsia" w:ascii="仿宋_GB2312" w:hAnsi="楷体_GB2312" w:eastAsia="仿宋_GB2312" w:cs="楷体_GB2312"/>
          <w:color w:val="auto"/>
          <w:kern w:val="0"/>
          <w:sz w:val="32"/>
          <w:szCs w:val="32"/>
          <w:lang w:val="en-US" w:eastAsia="zh-CN" w:bidi="ar-SA"/>
        </w:rPr>
      </w:pPr>
      <w:r>
        <w:rPr>
          <w:rFonts w:ascii="楷体_GB2312" w:hAnsi="楷体_GB2312" w:eastAsia="楷体_GB2312" w:cs="楷体_GB2312"/>
          <w:color w:val="auto"/>
          <w:sz w:val="32"/>
          <w:szCs w:val="32"/>
        </w:rPr>
        <w:t>（一）加强监测预警。</w:t>
      </w:r>
      <w:r>
        <w:rPr>
          <w:rFonts w:hint="eastAsia" w:ascii="仿宋_GB2312" w:hAnsi="楷体_GB2312" w:eastAsia="仿宋_GB2312" w:cs="楷体_GB2312"/>
          <w:color w:val="auto"/>
          <w:kern w:val="0"/>
          <w:sz w:val="32"/>
          <w:szCs w:val="32"/>
          <w:lang w:val="en-US" w:eastAsia="zh-CN" w:bidi="ar-SA"/>
        </w:rPr>
        <w:t>将全省生猪养殖量前20名大县的生猪生产情况及全省存栏500头以上的生猪规模养殖场（户）生产情况纳入省级监测范围。各市要依托全国生猪规模养殖场监测系统强化监测数据采集分析，及时准确掌握生产和供应情况，并视情况启动相应政策措施，合理引导市场预期。 </w:t>
      </w:r>
    </w:p>
    <w:p>
      <w:pPr>
        <w:pStyle w:val="4"/>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auto"/>
        <w:rPr>
          <w:rFonts w:hint="eastAsia" w:ascii="仿宋_GB2312" w:hAnsi="楷体_GB2312" w:eastAsia="仿宋_GB2312" w:cs="楷体_GB2312"/>
          <w:color w:val="auto"/>
          <w:kern w:val="0"/>
          <w:sz w:val="32"/>
          <w:szCs w:val="32"/>
          <w:lang w:val="en-US" w:eastAsia="zh-CN" w:bidi="ar-SA"/>
        </w:rPr>
      </w:pPr>
      <w:r>
        <w:rPr>
          <w:rFonts w:ascii="楷体_GB2312" w:hAnsi="楷体_GB2312" w:eastAsia="楷体_GB2312" w:cs="楷体_GB2312"/>
          <w:color w:val="auto"/>
          <w:sz w:val="32"/>
          <w:szCs w:val="32"/>
        </w:rPr>
        <w:t>（二）强化督导考核。</w:t>
      </w:r>
      <w:r>
        <w:rPr>
          <w:rFonts w:hint="eastAsia" w:ascii="仿宋_GB2312" w:hAnsi="楷体_GB2312" w:eastAsia="仿宋_GB2312" w:cs="楷体_GB2312"/>
          <w:color w:val="auto"/>
          <w:kern w:val="0"/>
          <w:sz w:val="32"/>
          <w:szCs w:val="32"/>
          <w:lang w:val="en-US" w:eastAsia="zh-CN" w:bidi="ar-SA"/>
        </w:rPr>
        <w:t>建立省级生猪生产监测月度反馈机制，每月向各市反馈能繁母猪存栏量和规模猪场（户）保有量月度数据变化情况。省农业农村厅将按分解的能繁母猪保有量和规模猪场（户）保有量等指标，定期组织考核各市生猪产能调控工作落实情况（考核实施细则见附2）。 </w:t>
      </w:r>
    </w:p>
    <w:p>
      <w:pPr>
        <w:pStyle w:val="4"/>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auto"/>
        <w:rPr>
          <w:rFonts w:hint="eastAsia" w:ascii="仿宋_GB2312" w:hAnsi="楷体_GB2312" w:eastAsia="仿宋_GB2312" w:cs="楷体_GB2312"/>
          <w:color w:val="auto"/>
          <w:spacing w:val="6"/>
          <w:kern w:val="0"/>
          <w:sz w:val="32"/>
          <w:szCs w:val="32"/>
          <w:lang w:val="en-US" w:eastAsia="zh-CN" w:bidi="ar-SA"/>
        </w:rPr>
      </w:pPr>
      <w:r>
        <w:rPr>
          <w:rFonts w:ascii="楷体_GB2312" w:hAnsi="楷体_GB2312" w:eastAsia="楷体_GB2312" w:cs="楷体_GB2312"/>
          <w:color w:val="auto"/>
          <w:sz w:val="32"/>
          <w:szCs w:val="32"/>
        </w:rPr>
        <w:t>（三）加大政策支持。</w:t>
      </w:r>
      <w:r>
        <w:rPr>
          <w:rFonts w:hint="eastAsia" w:ascii="仿宋_GB2312" w:hAnsi="楷体_GB2312" w:eastAsia="仿宋_GB2312" w:cs="楷体_GB2312"/>
          <w:color w:val="auto"/>
          <w:kern w:val="0"/>
          <w:sz w:val="32"/>
          <w:szCs w:val="32"/>
          <w:lang w:val="en-US" w:eastAsia="zh-CN" w:bidi="ar-SA"/>
        </w:rPr>
        <w:t>各市要结合实际制定本地生猪产能调控实施方案。因市场波动、自然灾害或突发疫病等导致本市生猪养殖连续严重亏损（原则上每头生猪出栏亏损大于100元）3个月（含）以上时，各市可按规定统筹相关资金对规模猪场（户）和种猪场（含地方保种场）给予一次性临时救助补贴。</w:t>
      </w:r>
      <w:r>
        <w:rPr>
          <w:rFonts w:hint="eastAsia" w:ascii="仿宋_GB2312" w:hAnsi="楷体_GB2312" w:eastAsia="仿宋_GB2312" w:cs="楷体_GB2312"/>
          <w:color w:val="auto"/>
          <w:spacing w:val="6"/>
          <w:kern w:val="0"/>
          <w:sz w:val="32"/>
          <w:szCs w:val="32"/>
          <w:lang w:val="en-US" w:eastAsia="zh-CN" w:bidi="ar-SA"/>
        </w:rPr>
        <w:t>同时，要协调金融机构扩大和增加对符合条件的生猪养殖场（户）的信贷投放。</w:t>
      </w:r>
    </w:p>
    <w:p>
      <w:pPr>
        <w:pStyle w:val="4"/>
        <w:keepNext w:val="0"/>
        <w:keepLines w:val="0"/>
        <w:pageBreakBefore w:val="0"/>
        <w:widowControl/>
        <w:kinsoku/>
        <w:wordWrap/>
        <w:overflowPunct/>
        <w:topLinePunct w:val="0"/>
        <w:autoSpaceDE/>
        <w:autoSpaceDN/>
        <w:bidi w:val="0"/>
        <w:adjustRightInd/>
        <w:snapToGrid/>
        <w:spacing w:beforeAutospacing="0" w:afterAutospacing="0" w:line="590" w:lineRule="exact"/>
        <w:ind w:left="0" w:leftChars="0" w:right="0" w:firstLine="640" w:firstLineChars="200"/>
        <w:jc w:val="both"/>
        <w:textAlignment w:val="auto"/>
        <w:rPr>
          <w:rFonts w:hint="eastAsia" w:ascii="仿宋_GB2312" w:hAnsi="楷体_GB2312" w:eastAsia="仿宋_GB2312" w:cs="楷体_GB2312"/>
          <w:color w:val="auto"/>
          <w:kern w:val="0"/>
          <w:sz w:val="32"/>
          <w:szCs w:val="32"/>
          <w:lang w:val="en-US" w:eastAsia="zh-CN" w:bidi="ar-SA"/>
        </w:rPr>
      </w:pPr>
      <w:r>
        <w:rPr>
          <w:rFonts w:ascii="楷体_GB2312" w:hAnsi="楷体_GB2312" w:eastAsia="楷体_GB2312" w:cs="楷体_GB2312"/>
          <w:color w:val="auto"/>
          <w:sz w:val="32"/>
          <w:szCs w:val="32"/>
        </w:rPr>
        <w:t>（四）做好宣传引导。</w:t>
      </w:r>
      <w:r>
        <w:rPr>
          <w:rFonts w:hint="eastAsia" w:ascii="仿宋_GB2312" w:hAnsi="楷体_GB2312" w:eastAsia="仿宋_GB2312" w:cs="楷体_GB2312"/>
          <w:color w:val="auto"/>
          <w:kern w:val="0"/>
          <w:sz w:val="32"/>
          <w:szCs w:val="32"/>
          <w:lang w:val="en-US" w:eastAsia="zh-CN" w:bidi="ar-SA"/>
        </w:rPr>
        <w:t>充分发挥主流媒体、新兴媒体作用，加强生猪产能调控政策宣传，让生猪养殖场（户）更多关注生猪产能调控政策和动态。加强舆情跟踪和分析研判，对社会关注的热点问题及时回应，对不实报道、网络谣言及时澄清。支持各市县大胆创新探索，总结推广典型经验范例，为推进生猪产能调控营造良好氛围。</w:t>
      </w: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jc w:val="both"/>
        <w:rPr>
          <w:rFonts w:ascii="仿宋_GB2312" w:hAnsi="楷体_GB2312" w:eastAsia="仿宋_GB2312" w:cs="楷体_GB2312"/>
          <w:color w:val="auto"/>
          <w:sz w:val="32"/>
          <w:szCs w:val="32"/>
        </w:rPr>
      </w:pPr>
    </w:p>
    <w:p>
      <w:pPr>
        <w:pStyle w:val="4"/>
        <w:keepNext w:val="0"/>
        <w:keepLines w:val="0"/>
        <w:pageBreakBefore w:val="0"/>
        <w:widowControl/>
        <w:kinsoku/>
        <w:wordWrap/>
        <w:overflowPunct/>
        <w:topLinePunct w:val="0"/>
        <w:autoSpaceDE/>
        <w:autoSpaceDN/>
        <w:bidi w:val="0"/>
        <w:spacing w:beforeAutospacing="0" w:afterAutospacing="0" w:line="590" w:lineRule="exact"/>
        <w:ind w:right="0" w:firstLine="640" w:firstLineChars="200"/>
        <w:jc w:val="both"/>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附：1.各市能繁母猪和规模猪场（户）保有量 </w:t>
      </w: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firstLine="1280" w:firstLineChars="400"/>
        <w:jc w:val="both"/>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t>2.全省生猪产能调控工作考核实施细则</w:t>
      </w: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firstLine="640" w:firstLineChars="200"/>
        <w:jc w:val="both"/>
        <w:rPr>
          <w:rFonts w:hint="eastAsia" w:ascii="仿宋_GB2312" w:hAnsi="楷体_GB2312" w:eastAsia="仿宋_GB2312" w:cs="楷体_GB2312"/>
          <w:color w:val="auto"/>
          <w:kern w:val="0"/>
          <w:sz w:val="32"/>
          <w:szCs w:val="32"/>
          <w:lang w:val="en-US" w:eastAsia="zh-CN" w:bidi="ar-SA"/>
        </w:rPr>
      </w:pPr>
      <w:r>
        <w:rPr>
          <w:rFonts w:hint="eastAsia" w:ascii="仿宋_GB2312" w:hAnsi="楷体_GB2312" w:eastAsia="仿宋_GB2312" w:cs="楷体_GB2312"/>
          <w:color w:val="auto"/>
          <w:kern w:val="0"/>
          <w:sz w:val="32"/>
          <w:szCs w:val="32"/>
          <w:lang w:val="en-US" w:eastAsia="zh-CN" w:bidi="ar-SA"/>
        </w:rPr>
        <w:br w:type="page"/>
      </w: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jc w:val="both"/>
        <w:rPr>
          <w:rFonts w:ascii="仿宋_GB2312" w:hAnsi="楷体_GB2312" w:eastAsia="仿宋_GB2312" w:cs="楷体_GB2312"/>
          <w:sz w:val="32"/>
          <w:szCs w:val="32"/>
        </w:rPr>
      </w:pPr>
      <w:r>
        <w:rPr>
          <w:rFonts w:hint="eastAsia" w:ascii="仿宋_GB2312" w:hAnsi="楷体_GB2312" w:eastAsia="仿宋_GB2312" w:cs="楷体_GB2312"/>
          <w:sz w:val="32"/>
          <w:szCs w:val="32"/>
        </w:rPr>
        <w:t>附1</w:t>
      </w: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jc w:val="both"/>
        <w:rPr>
          <w:rFonts w:ascii="仿宋_GB2312" w:hAnsi="楷体_GB2312" w:eastAsia="仿宋_GB2312" w:cs="楷体_GB2312"/>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313" w:afterLines="100" w:afterAutospacing="0" w:line="590" w:lineRule="exact"/>
        <w:ind w:left="0" w:leftChars="0" w:right="0"/>
        <w:jc w:val="center"/>
        <w:textAlignment w:val="auto"/>
        <w:rPr>
          <w:rFonts w:ascii="仿宋_GB2312" w:hAnsi="楷体_GB2312" w:eastAsia="仿宋_GB2312" w:cs="楷体_GB2312"/>
          <w:sz w:val="32"/>
          <w:szCs w:val="32"/>
        </w:rPr>
      </w:pPr>
      <w:r>
        <w:rPr>
          <w:rFonts w:hint="eastAsia" w:ascii="方正小标宋简体" w:hAnsi="方正小标宋简体" w:eastAsia="方正小标宋简体" w:cs="方正小标宋简体"/>
          <w:b w:val="0"/>
          <w:bCs w:val="0"/>
          <w:sz w:val="44"/>
          <w:szCs w:val="44"/>
        </w:rPr>
        <w:t>各市能繁母猪和规模猪场（户）保有量</w:t>
      </w:r>
    </w:p>
    <w:tbl>
      <w:tblPr>
        <w:tblStyle w:val="5"/>
        <w:tblW w:w="8863" w:type="dxa"/>
        <w:tblInd w:w="93" w:type="dxa"/>
        <w:tblLayout w:type="fixed"/>
        <w:tblCellMar>
          <w:top w:w="0" w:type="dxa"/>
          <w:left w:w="108" w:type="dxa"/>
          <w:bottom w:w="0" w:type="dxa"/>
          <w:right w:w="108" w:type="dxa"/>
        </w:tblCellMar>
      </w:tblPr>
      <w:tblGrid>
        <w:gridCol w:w="2153"/>
        <w:gridCol w:w="2153"/>
        <w:gridCol w:w="2153"/>
        <w:gridCol w:w="2404"/>
      </w:tblGrid>
      <w:tr>
        <w:tblPrEx>
          <w:tblCellMar>
            <w:top w:w="0" w:type="dxa"/>
            <w:left w:w="108" w:type="dxa"/>
            <w:bottom w:w="0" w:type="dxa"/>
            <w:right w:w="108" w:type="dxa"/>
          </w:tblCellMar>
        </w:tblPrEx>
        <w:trPr>
          <w:trHeight w:val="124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市别</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能繁母猪</w:t>
            </w:r>
          </w:p>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正常保有量</w:t>
            </w:r>
          </w:p>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(万头)</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能繁母猪</w:t>
            </w:r>
          </w:p>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最低保有量</w:t>
            </w:r>
          </w:p>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(万头)</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规模猪场</w:t>
            </w:r>
          </w:p>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保有量</w:t>
            </w:r>
          </w:p>
          <w:p>
            <w:pPr>
              <w:keepNext w:val="0"/>
              <w:keepLines w:val="0"/>
              <w:pageBreakBefore w:val="0"/>
              <w:kinsoku/>
              <w:wordWrap/>
              <w:overflowPunct/>
              <w:topLinePunct w:val="0"/>
              <w:autoSpaceDE/>
              <w:autoSpaceDN/>
              <w:bidi w:val="0"/>
              <w:adjustRightInd/>
              <w:snapToGrid/>
              <w:spacing w:line="300" w:lineRule="exact"/>
              <w:ind w:left="0" w:leftChars="0" w:right="0"/>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(个)</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太原市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0.9</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0.8</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70</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大同市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4.7</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200</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朔州市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180</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忻州市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3.8</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250</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吕梁市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6.8</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380</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晋中市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5.8</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545</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阳泉市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100</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长治市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3.7</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305</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晋城市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725</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临汾市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350</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运城市</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795</w:t>
            </w:r>
          </w:p>
        </w:tc>
      </w:tr>
      <w:tr>
        <w:tblPrEx>
          <w:tblCellMar>
            <w:top w:w="0" w:type="dxa"/>
            <w:left w:w="108" w:type="dxa"/>
            <w:bottom w:w="0" w:type="dxa"/>
            <w:right w:w="108" w:type="dxa"/>
          </w:tblCellMar>
        </w:tblPrEx>
        <w:trPr>
          <w:trHeight w:val="582"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全  省</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55</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49.5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3900</w:t>
            </w:r>
          </w:p>
        </w:tc>
      </w:tr>
    </w:tbl>
    <w:p>
      <w:pPr>
        <w:keepNext w:val="0"/>
        <w:keepLines w:val="0"/>
        <w:pageBreakBefore w:val="0"/>
        <w:kinsoku/>
        <w:wordWrap/>
        <w:overflowPunct/>
        <w:topLinePunct w:val="0"/>
        <w:autoSpaceDE/>
        <w:autoSpaceDN/>
        <w:bidi w:val="0"/>
        <w:spacing w:line="590" w:lineRule="exact"/>
        <w:ind w:left="0" w:leftChars="0" w:right="0"/>
      </w:pPr>
    </w:p>
    <w:p>
      <w:pPr>
        <w:keepNext w:val="0"/>
        <w:keepLines w:val="0"/>
        <w:pageBreakBefore w:val="0"/>
        <w:kinsoku/>
        <w:wordWrap/>
        <w:overflowPunct/>
        <w:topLinePunct w:val="0"/>
        <w:autoSpaceDE/>
        <w:autoSpaceDN/>
        <w:bidi w:val="0"/>
        <w:spacing w:line="590" w:lineRule="exact"/>
        <w:ind w:left="0" w:leftChars="0" w:right="0"/>
      </w:pPr>
    </w:p>
    <w:p>
      <w:pPr>
        <w:keepNext w:val="0"/>
        <w:keepLines w:val="0"/>
        <w:pageBreakBefore w:val="0"/>
        <w:kinsoku/>
        <w:wordWrap/>
        <w:overflowPunct/>
        <w:topLinePunct w:val="0"/>
        <w:autoSpaceDE/>
        <w:autoSpaceDN/>
        <w:bidi w:val="0"/>
        <w:spacing w:line="590" w:lineRule="exact"/>
        <w:ind w:left="0" w:leftChars="0" w:right="0"/>
      </w:pPr>
    </w:p>
    <w:p>
      <w:pPr>
        <w:keepNext w:val="0"/>
        <w:keepLines w:val="0"/>
        <w:pageBreakBefore w:val="0"/>
        <w:kinsoku/>
        <w:wordWrap/>
        <w:overflowPunct/>
        <w:topLinePunct w:val="0"/>
        <w:autoSpaceDE/>
        <w:autoSpaceDN/>
        <w:bidi w:val="0"/>
        <w:spacing w:line="590" w:lineRule="exact"/>
        <w:ind w:left="0" w:leftChars="0" w:right="0"/>
        <w:rPr>
          <w:rFonts w:hint="eastAsia"/>
        </w:rPr>
      </w:pPr>
    </w:p>
    <w:p>
      <w:pPr>
        <w:pStyle w:val="4"/>
        <w:keepNext w:val="0"/>
        <w:keepLines w:val="0"/>
        <w:pageBreakBefore w:val="0"/>
        <w:widowControl/>
        <w:kinsoku/>
        <w:wordWrap/>
        <w:overflowPunct/>
        <w:topLinePunct w:val="0"/>
        <w:autoSpaceDE/>
        <w:autoSpaceDN/>
        <w:bidi w:val="0"/>
        <w:spacing w:beforeAutospacing="0" w:afterAutospacing="0" w:line="590" w:lineRule="exact"/>
        <w:ind w:left="0" w:leftChars="0" w:right="0"/>
        <w:jc w:val="both"/>
        <w:rPr>
          <w:rFonts w:ascii="仿宋_GB2312" w:hAnsi="楷体_GB2312" w:eastAsia="仿宋_GB2312" w:cs="楷体_GB2312"/>
          <w:sz w:val="32"/>
          <w:szCs w:val="32"/>
        </w:rPr>
      </w:pPr>
      <w:r>
        <w:rPr>
          <w:rFonts w:hint="eastAsia" w:ascii="仿宋_GB2312" w:hAnsi="楷体_GB2312" w:eastAsia="仿宋_GB2312" w:cs="楷体_GB2312"/>
          <w:sz w:val="32"/>
          <w:szCs w:val="32"/>
        </w:rPr>
        <w:t>附2</w:t>
      </w:r>
    </w:p>
    <w:p>
      <w:pPr>
        <w:keepNext w:val="0"/>
        <w:keepLines w:val="0"/>
        <w:pageBreakBefore w:val="0"/>
        <w:tabs>
          <w:tab w:val="left" w:pos="1880"/>
        </w:tabs>
        <w:kinsoku/>
        <w:wordWrap/>
        <w:overflowPunct/>
        <w:topLinePunct w:val="0"/>
        <w:autoSpaceDE/>
        <w:autoSpaceDN/>
        <w:bidi w:val="0"/>
        <w:spacing w:line="590" w:lineRule="exact"/>
        <w:ind w:left="0" w:leftChars="0" w:right="0"/>
        <w:jc w:val="center"/>
        <w:rPr>
          <w:rFonts w:hint="eastAsia" w:ascii="方正小标宋简体" w:hAnsi="方正小标宋简体" w:eastAsia="方正小标宋简体" w:cs="方正小标宋简体"/>
          <w:kern w:val="0"/>
          <w:sz w:val="44"/>
          <w:szCs w:val="44"/>
          <w:lang w:eastAsia="zh-CN"/>
        </w:rPr>
      </w:pPr>
    </w:p>
    <w:p>
      <w:pPr>
        <w:keepNext w:val="0"/>
        <w:keepLines w:val="0"/>
        <w:pageBreakBefore w:val="0"/>
        <w:tabs>
          <w:tab w:val="left" w:pos="1880"/>
        </w:tabs>
        <w:kinsoku/>
        <w:wordWrap/>
        <w:overflowPunct/>
        <w:topLinePunct w:val="0"/>
        <w:autoSpaceDE/>
        <w:autoSpaceDN/>
        <w:bidi w:val="0"/>
        <w:spacing w:line="590" w:lineRule="exact"/>
        <w:ind w:left="0" w:leftChars="0" w:right="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全</w:t>
      </w:r>
      <w:r>
        <w:rPr>
          <w:rFonts w:hint="eastAsia" w:ascii="方正小标宋简体" w:hAnsi="方正小标宋简体" w:eastAsia="方正小标宋简体" w:cs="方正小标宋简体"/>
          <w:kern w:val="0"/>
          <w:sz w:val="44"/>
          <w:szCs w:val="44"/>
        </w:rPr>
        <w:t>省生猪产能调控工作考核实施细则</w:t>
      </w:r>
    </w:p>
    <w:p>
      <w:pPr>
        <w:keepNext w:val="0"/>
        <w:keepLines w:val="0"/>
        <w:pageBreakBefore w:val="0"/>
        <w:kinsoku/>
        <w:wordWrap/>
        <w:overflowPunct/>
        <w:topLinePunct w:val="0"/>
        <w:autoSpaceDE/>
        <w:autoSpaceDN/>
        <w:bidi w:val="0"/>
        <w:spacing w:line="590" w:lineRule="exact"/>
        <w:ind w:left="0" w:leftChars="0" w:right="0"/>
        <w:rPr>
          <w:rFonts w:ascii="仿宋_GB2312" w:hAnsi="楷体_GB2312" w:eastAsia="仿宋_GB2312" w:cs="楷体_GB2312"/>
          <w:kern w:val="0"/>
          <w:sz w:val="44"/>
          <w:szCs w:val="44"/>
        </w:rPr>
      </w:pP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hint="eastAsia" w:ascii="黑体" w:hAnsi="黑体" w:eastAsia="黑体" w:cs="黑体"/>
          <w:kern w:val="0"/>
          <w:sz w:val="32"/>
          <w:szCs w:val="32"/>
        </w:rPr>
        <w:t>第一条  考核依据</w:t>
      </w:r>
      <w:r>
        <w:rPr>
          <w:rFonts w:ascii="黑体" w:hAnsi="黑体" w:eastAsia="黑体" w:cs="黑体"/>
          <w:kern w:val="0"/>
          <w:sz w:val="32"/>
          <w:szCs w:val="32"/>
        </w:rPr>
        <w:t>。</w:t>
      </w:r>
      <w:r>
        <w:rPr>
          <w:rFonts w:ascii="仿宋_GB2312" w:hAnsi="楷体_GB2312" w:eastAsia="仿宋_GB2312" w:cs="楷体_GB2312"/>
          <w:kern w:val="0"/>
          <w:sz w:val="32"/>
          <w:szCs w:val="32"/>
        </w:rPr>
        <w:t>依据《</w:t>
      </w:r>
      <w:r>
        <w:rPr>
          <w:rFonts w:hint="eastAsia" w:ascii="仿宋_GB2312" w:hAnsi="楷体_GB2312" w:eastAsia="仿宋_GB2312" w:cs="楷体_GB2312"/>
          <w:kern w:val="0"/>
          <w:sz w:val="32"/>
          <w:szCs w:val="32"/>
        </w:rPr>
        <w:t>农业农村部关于印发生猪产能调控实施方案（暂行）的通知</w:t>
      </w:r>
      <w:r>
        <w:rPr>
          <w:rFonts w:ascii="仿宋_GB2312" w:hAnsi="楷体_GB2312" w:eastAsia="仿宋_GB2312" w:cs="楷体_GB2312"/>
          <w:kern w:val="0"/>
          <w:sz w:val="32"/>
          <w:szCs w:val="32"/>
        </w:rPr>
        <w:t>》</w:t>
      </w:r>
      <w:r>
        <w:rPr>
          <w:rFonts w:hint="eastAsia" w:ascii="仿宋_GB2312" w:hAnsi="楷体_GB2312" w:eastAsia="仿宋_GB2312" w:cs="楷体_GB2312"/>
          <w:kern w:val="0"/>
          <w:sz w:val="32"/>
          <w:szCs w:val="32"/>
        </w:rPr>
        <w:t>（农牧发〔2021〕27号）</w:t>
      </w:r>
      <w:r>
        <w:rPr>
          <w:rFonts w:ascii="仿宋_GB2312" w:hAnsi="楷体_GB2312" w:eastAsia="仿宋_GB2312" w:cs="楷体_GB2312"/>
          <w:kern w:val="0"/>
          <w:sz w:val="32"/>
          <w:szCs w:val="32"/>
        </w:rPr>
        <w:t>，制定本实施细则。</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ascii="黑体" w:hAnsi="黑体" w:eastAsia="黑体" w:cs="黑体"/>
          <w:kern w:val="0"/>
          <w:sz w:val="32"/>
          <w:szCs w:val="32"/>
        </w:rPr>
        <w:t>第二条</w:t>
      </w:r>
      <w:r>
        <w:rPr>
          <w:rFonts w:hint="eastAsia" w:ascii="黑体" w:hAnsi="黑体" w:eastAsia="黑体" w:cs="黑体"/>
          <w:kern w:val="0"/>
          <w:sz w:val="32"/>
          <w:szCs w:val="32"/>
        </w:rPr>
        <w:t xml:space="preserve">  </w:t>
      </w:r>
      <w:r>
        <w:rPr>
          <w:rFonts w:ascii="黑体" w:hAnsi="黑体" w:eastAsia="黑体" w:cs="黑体"/>
          <w:kern w:val="0"/>
          <w:sz w:val="32"/>
          <w:szCs w:val="32"/>
        </w:rPr>
        <w:t>考核范围和对象。</w:t>
      </w:r>
      <w:r>
        <w:rPr>
          <w:rFonts w:ascii="仿宋_GB2312" w:hAnsi="楷体_GB2312" w:eastAsia="仿宋_GB2312" w:cs="楷体_GB2312"/>
          <w:kern w:val="0"/>
          <w:sz w:val="32"/>
          <w:szCs w:val="32"/>
        </w:rPr>
        <w:t>全</w:t>
      </w:r>
      <w:r>
        <w:rPr>
          <w:rFonts w:hint="eastAsia" w:ascii="仿宋_GB2312" w:hAnsi="楷体_GB2312" w:eastAsia="仿宋_GB2312" w:cs="楷体_GB2312"/>
          <w:kern w:val="0"/>
          <w:sz w:val="32"/>
          <w:szCs w:val="32"/>
        </w:rPr>
        <w:t>省1</w:t>
      </w:r>
      <w:r>
        <w:rPr>
          <w:rFonts w:ascii="仿宋_GB2312" w:hAnsi="楷体_GB2312" w:eastAsia="仿宋_GB2312" w:cs="楷体_GB2312"/>
          <w:kern w:val="0"/>
          <w:sz w:val="32"/>
          <w:szCs w:val="32"/>
        </w:rPr>
        <w:t>1</w:t>
      </w:r>
      <w:r>
        <w:rPr>
          <w:rFonts w:hint="eastAsia" w:ascii="仿宋_GB2312" w:hAnsi="楷体_GB2312" w:eastAsia="仿宋_GB2312" w:cs="楷体_GB2312"/>
          <w:kern w:val="0"/>
          <w:sz w:val="32"/>
          <w:szCs w:val="32"/>
        </w:rPr>
        <w:t>市</w:t>
      </w:r>
      <w:r>
        <w:rPr>
          <w:rFonts w:ascii="仿宋_GB2312" w:hAnsi="楷体_GB2312" w:eastAsia="仿宋_GB2312" w:cs="楷体_GB2312"/>
          <w:kern w:val="0"/>
          <w:sz w:val="32"/>
          <w:szCs w:val="32"/>
        </w:rPr>
        <w:t>农业农村部门。</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ascii="黑体" w:hAnsi="黑体" w:eastAsia="黑体" w:cs="黑体"/>
          <w:kern w:val="0"/>
          <w:sz w:val="32"/>
          <w:szCs w:val="32"/>
        </w:rPr>
        <w:t>第三条</w:t>
      </w:r>
      <w:r>
        <w:rPr>
          <w:rFonts w:hint="eastAsia" w:ascii="黑体" w:hAnsi="黑体" w:eastAsia="黑体" w:cs="黑体"/>
          <w:kern w:val="0"/>
          <w:sz w:val="32"/>
          <w:szCs w:val="32"/>
        </w:rPr>
        <w:t xml:space="preserve">  </w:t>
      </w:r>
      <w:r>
        <w:rPr>
          <w:rFonts w:ascii="黑体" w:hAnsi="黑体" w:eastAsia="黑体" w:cs="黑体"/>
          <w:kern w:val="0"/>
          <w:sz w:val="32"/>
          <w:szCs w:val="32"/>
        </w:rPr>
        <w:t>考核指标。</w:t>
      </w:r>
      <w:r>
        <w:rPr>
          <w:rFonts w:hint="eastAsia" w:ascii="仿宋_GB2312" w:hAnsi="楷体_GB2312" w:eastAsia="仿宋_GB2312" w:cs="楷体_GB2312"/>
          <w:kern w:val="0"/>
          <w:sz w:val="32"/>
          <w:szCs w:val="32"/>
        </w:rPr>
        <w:t>省</w:t>
      </w:r>
      <w:r>
        <w:rPr>
          <w:rFonts w:ascii="仿宋_GB2312" w:hAnsi="楷体_GB2312" w:eastAsia="仿宋_GB2312" w:cs="楷体_GB2312"/>
          <w:kern w:val="0"/>
          <w:sz w:val="32"/>
          <w:szCs w:val="32"/>
        </w:rPr>
        <w:t>农业农村</w:t>
      </w:r>
      <w:r>
        <w:rPr>
          <w:rFonts w:hint="eastAsia" w:ascii="仿宋_GB2312" w:hAnsi="楷体_GB2312" w:eastAsia="仿宋_GB2312" w:cs="楷体_GB2312"/>
          <w:kern w:val="0"/>
          <w:sz w:val="32"/>
          <w:szCs w:val="32"/>
        </w:rPr>
        <w:t>厅</w:t>
      </w:r>
      <w:r>
        <w:rPr>
          <w:rFonts w:ascii="仿宋_GB2312" w:hAnsi="楷体_GB2312" w:eastAsia="仿宋_GB2312" w:cs="楷体_GB2312"/>
          <w:kern w:val="0"/>
          <w:sz w:val="32"/>
          <w:szCs w:val="32"/>
        </w:rPr>
        <w:t>下达的各</w:t>
      </w:r>
      <w:r>
        <w:rPr>
          <w:rFonts w:hint="eastAsia" w:ascii="仿宋_GB2312" w:hAnsi="楷体_GB2312" w:eastAsia="仿宋_GB2312" w:cs="楷体_GB2312"/>
          <w:kern w:val="0"/>
          <w:sz w:val="32"/>
          <w:szCs w:val="32"/>
        </w:rPr>
        <w:t>市</w:t>
      </w:r>
      <w:r>
        <w:rPr>
          <w:rFonts w:ascii="仿宋_GB2312" w:hAnsi="楷体_GB2312" w:eastAsia="仿宋_GB2312" w:cs="楷体_GB2312"/>
          <w:kern w:val="0"/>
          <w:sz w:val="32"/>
          <w:szCs w:val="32"/>
        </w:rPr>
        <w:t>能繁母猪正常保有量、最低保有量和规模场(户)保有量。</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ascii="黑体" w:hAnsi="黑体" w:eastAsia="黑体" w:cs="黑体"/>
          <w:kern w:val="0"/>
          <w:sz w:val="32"/>
          <w:szCs w:val="32"/>
        </w:rPr>
        <w:t>第四条</w:t>
      </w:r>
      <w:r>
        <w:rPr>
          <w:rFonts w:hint="eastAsia" w:ascii="黑体" w:hAnsi="黑体" w:eastAsia="黑体" w:cs="黑体"/>
          <w:kern w:val="0"/>
          <w:sz w:val="32"/>
          <w:szCs w:val="32"/>
        </w:rPr>
        <w:t xml:space="preserve">  </w:t>
      </w:r>
      <w:r>
        <w:rPr>
          <w:rFonts w:ascii="黑体" w:hAnsi="黑体" w:eastAsia="黑体" w:cs="黑体"/>
          <w:kern w:val="0"/>
          <w:sz w:val="32"/>
          <w:szCs w:val="32"/>
        </w:rPr>
        <w:t>考核期。</w:t>
      </w:r>
      <w:r>
        <w:rPr>
          <w:rFonts w:ascii="仿宋_GB2312" w:hAnsi="楷体_GB2312" w:eastAsia="仿宋_GB2312" w:cs="楷体_GB2312"/>
          <w:kern w:val="0"/>
          <w:sz w:val="32"/>
          <w:szCs w:val="32"/>
        </w:rPr>
        <w:t>以日历年度为考核期，考核得分根据当年各项指标数据计算，每年3</w:t>
      </w:r>
      <w:r>
        <w:rPr>
          <w:rFonts w:hint="eastAsia" w:ascii="仿宋_GB2312" w:hAnsi="楷体_GB2312" w:eastAsia="仿宋_GB2312" w:cs="楷体_GB2312"/>
          <w:kern w:val="0"/>
          <w:sz w:val="32"/>
          <w:szCs w:val="32"/>
          <w:lang w:eastAsia="zh-CN"/>
        </w:rPr>
        <w:t>—</w:t>
      </w:r>
      <w:r>
        <w:rPr>
          <w:rFonts w:ascii="仿宋_GB2312" w:hAnsi="楷体_GB2312" w:eastAsia="仿宋_GB2312" w:cs="楷体_GB2312"/>
          <w:kern w:val="0"/>
          <w:sz w:val="32"/>
          <w:szCs w:val="32"/>
        </w:rPr>
        <w:t>4月份对上一年度开展考核。考核从202</w:t>
      </w:r>
      <w:r>
        <w:rPr>
          <w:rFonts w:hint="eastAsia" w:ascii="仿宋_GB2312" w:hAnsi="楷体_GB2312" w:eastAsia="仿宋_GB2312" w:cs="楷体_GB2312"/>
          <w:kern w:val="0"/>
          <w:sz w:val="32"/>
          <w:szCs w:val="32"/>
        </w:rPr>
        <w:t>2</w:t>
      </w:r>
      <w:r>
        <w:rPr>
          <w:rFonts w:ascii="仿宋_GB2312" w:hAnsi="楷体_GB2312" w:eastAsia="仿宋_GB2312" w:cs="楷体_GB2312"/>
          <w:kern w:val="0"/>
          <w:sz w:val="32"/>
          <w:szCs w:val="32"/>
        </w:rPr>
        <w:t>年度开始。</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ascii="黑体" w:hAnsi="黑体" w:eastAsia="黑体" w:cs="黑体"/>
          <w:kern w:val="0"/>
          <w:sz w:val="32"/>
          <w:szCs w:val="32"/>
        </w:rPr>
        <w:t>第五条</w:t>
      </w:r>
      <w:r>
        <w:rPr>
          <w:rFonts w:hint="eastAsia" w:ascii="黑体" w:hAnsi="黑体" w:eastAsia="黑体" w:cs="黑体"/>
          <w:kern w:val="0"/>
          <w:sz w:val="32"/>
          <w:szCs w:val="32"/>
        </w:rPr>
        <w:t xml:space="preserve">  </w:t>
      </w:r>
      <w:r>
        <w:rPr>
          <w:rFonts w:ascii="黑体" w:hAnsi="黑体" w:eastAsia="黑体" w:cs="黑体"/>
          <w:kern w:val="0"/>
          <w:sz w:val="32"/>
          <w:szCs w:val="32"/>
        </w:rPr>
        <w:t>考核等次。</w:t>
      </w:r>
      <w:r>
        <w:rPr>
          <w:rFonts w:ascii="仿宋_GB2312" w:hAnsi="楷体_GB2312" w:eastAsia="仿宋_GB2312" w:cs="楷体_GB2312"/>
          <w:kern w:val="0"/>
          <w:sz w:val="32"/>
          <w:szCs w:val="32"/>
        </w:rPr>
        <w:t>考核采取“基础分+附加分”的方式，基础分为100分，附加分最高加10分。结果分为4个等级，90分以上为优秀，75分以上90分以下为良好，60分以上75分以下为合格，60分以下为不合格(以上包括本数，以下不包括本数)。</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ascii="黑体" w:hAnsi="黑体" w:eastAsia="黑体" w:cs="黑体"/>
          <w:kern w:val="0"/>
          <w:sz w:val="32"/>
          <w:szCs w:val="32"/>
        </w:rPr>
        <w:t>第六条</w:t>
      </w:r>
      <w:r>
        <w:rPr>
          <w:rFonts w:hint="eastAsia" w:ascii="黑体" w:hAnsi="黑体" w:eastAsia="黑体" w:cs="黑体"/>
          <w:kern w:val="0"/>
          <w:sz w:val="32"/>
          <w:szCs w:val="32"/>
        </w:rPr>
        <w:t xml:space="preserve">  </w:t>
      </w:r>
      <w:r>
        <w:rPr>
          <w:rFonts w:ascii="黑体" w:hAnsi="黑体" w:eastAsia="黑体" w:cs="黑体"/>
          <w:kern w:val="0"/>
          <w:sz w:val="32"/>
          <w:szCs w:val="32"/>
        </w:rPr>
        <w:t>保能繁母猪存栏量底线(60分)。</w:t>
      </w:r>
      <w:r>
        <w:rPr>
          <w:rFonts w:ascii="仿宋_GB2312" w:hAnsi="楷体_GB2312" w:eastAsia="仿宋_GB2312" w:cs="楷体_GB2312"/>
          <w:kern w:val="0"/>
          <w:sz w:val="32"/>
          <w:szCs w:val="32"/>
        </w:rPr>
        <w:t>确保能繁母猪存栏量相对稳定，以季(月)度存栏量不低于正常保有量的95％，特别是不低于最低保有量为工作目标。每个季度中，能繁母猪季度末存栏量不低于正常保有量的95％，当季得8分;低于正常保有量的95％，但不低于最低保有量的，得5分;低于最低保有量的，不得分。8个非季末月份中，能繁母猪月度存栏量不低于正常保有量的95％，当月得3.5分;低于正常保有量的95％，但不低于最低保有量的，得2分;低于最低保有量的，不得分。</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ascii="黑体" w:hAnsi="黑体" w:eastAsia="黑体" w:cs="黑体"/>
          <w:kern w:val="0"/>
          <w:sz w:val="32"/>
          <w:szCs w:val="32"/>
        </w:rPr>
        <w:t>第七条</w:t>
      </w:r>
      <w:r>
        <w:rPr>
          <w:rFonts w:hint="eastAsia" w:ascii="黑体" w:hAnsi="黑体" w:eastAsia="黑体" w:cs="黑体"/>
          <w:kern w:val="0"/>
          <w:sz w:val="32"/>
          <w:szCs w:val="32"/>
        </w:rPr>
        <w:t xml:space="preserve">  </w:t>
      </w:r>
      <w:r>
        <w:rPr>
          <w:rFonts w:ascii="黑体" w:hAnsi="黑体" w:eastAsia="黑体" w:cs="黑体"/>
          <w:kern w:val="0"/>
          <w:sz w:val="32"/>
          <w:szCs w:val="32"/>
        </w:rPr>
        <w:t>稳定规模猪场(户)数量(26分)。</w:t>
      </w:r>
      <w:r>
        <w:rPr>
          <w:rFonts w:ascii="仿宋_GB2312" w:hAnsi="楷体_GB2312" w:eastAsia="仿宋_GB2312" w:cs="楷体_GB2312"/>
          <w:kern w:val="0"/>
          <w:sz w:val="32"/>
          <w:szCs w:val="32"/>
        </w:rPr>
        <w:t>确保规模场(户)数量总体稳定，不</w:t>
      </w:r>
      <w:r>
        <w:rPr>
          <w:rFonts w:hint="eastAsia" w:ascii="仿宋_GB2312" w:hAnsi="楷体_GB2312" w:eastAsia="仿宋_GB2312" w:cs="楷体_GB2312"/>
          <w:kern w:val="0"/>
          <w:sz w:val="32"/>
          <w:szCs w:val="32"/>
        </w:rPr>
        <w:t>随意</w:t>
      </w:r>
      <w:r>
        <w:rPr>
          <w:rFonts w:ascii="仿宋_GB2312" w:hAnsi="楷体_GB2312" w:eastAsia="仿宋_GB2312" w:cs="楷体_GB2312"/>
          <w:kern w:val="0"/>
          <w:sz w:val="32"/>
          <w:szCs w:val="32"/>
        </w:rPr>
        <w:t>拆除规模猪场(户)。规模猪场(户)月度备案数不低于保有量95％的，当月得2分;低于保有量95％的当月不得分。建立</w:t>
      </w:r>
      <w:r>
        <w:rPr>
          <w:rFonts w:hint="eastAsia" w:ascii="仿宋_GB2312" w:hAnsi="楷体_GB2312" w:eastAsia="仿宋_GB2312" w:cs="楷体_GB2312"/>
          <w:kern w:val="0"/>
          <w:sz w:val="32"/>
          <w:szCs w:val="32"/>
          <w:lang w:eastAsia="zh-CN"/>
        </w:rPr>
        <w:t>分</w:t>
      </w:r>
      <w:r>
        <w:rPr>
          <w:rFonts w:ascii="仿宋_GB2312" w:hAnsi="楷体_GB2312" w:eastAsia="仿宋_GB2312" w:cs="楷体_GB2312"/>
          <w:kern w:val="0"/>
          <w:sz w:val="32"/>
          <w:szCs w:val="32"/>
        </w:rPr>
        <w:t>级生猪产能调控基地并挂牌的(首次挂牌在2022年2月之前完成，此后每年2月底前完成上一年度新增基地挂</w:t>
      </w:r>
      <w:r>
        <w:rPr>
          <w:rFonts w:hint="eastAsia" w:ascii="仿宋_GB2312" w:hAnsi="楷体_GB2312" w:eastAsia="仿宋_GB2312" w:cs="楷体_GB2312"/>
          <w:kern w:val="0"/>
          <w:sz w:val="32"/>
          <w:szCs w:val="32"/>
        </w:rPr>
        <w:t>牌</w:t>
      </w:r>
      <w:r>
        <w:rPr>
          <w:rFonts w:ascii="仿宋_GB2312" w:hAnsi="楷体_GB2312" w:eastAsia="仿宋_GB2312" w:cs="楷体_GB2312"/>
          <w:kern w:val="0"/>
          <w:sz w:val="32"/>
          <w:szCs w:val="32"/>
        </w:rPr>
        <w:t>和退出基地摘牌)，得2分。</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spacing w:val="-6"/>
          <w:kern w:val="0"/>
          <w:sz w:val="32"/>
          <w:szCs w:val="32"/>
        </w:rPr>
      </w:pPr>
      <w:r>
        <w:rPr>
          <w:rFonts w:ascii="黑体" w:hAnsi="黑体" w:eastAsia="黑体" w:cs="黑体"/>
          <w:kern w:val="0"/>
          <w:sz w:val="32"/>
          <w:szCs w:val="32"/>
        </w:rPr>
        <w:t>第八条</w:t>
      </w:r>
      <w:r>
        <w:rPr>
          <w:rFonts w:hint="eastAsia" w:ascii="黑体" w:hAnsi="黑体" w:eastAsia="黑体" w:cs="黑体"/>
          <w:kern w:val="0"/>
          <w:sz w:val="32"/>
          <w:szCs w:val="32"/>
        </w:rPr>
        <w:t xml:space="preserve">  </w:t>
      </w:r>
      <w:r>
        <w:rPr>
          <w:rFonts w:ascii="黑体" w:hAnsi="黑体" w:eastAsia="黑体" w:cs="黑体"/>
          <w:kern w:val="0"/>
          <w:sz w:val="32"/>
          <w:szCs w:val="32"/>
        </w:rPr>
        <w:t>建立生猪产能分级调控机制(14分)。</w:t>
      </w:r>
      <w:r>
        <w:rPr>
          <w:rFonts w:ascii="仿宋_GB2312" w:hAnsi="楷体_GB2312" w:eastAsia="仿宋_GB2312" w:cs="楷体_GB2312"/>
          <w:spacing w:val="-6"/>
          <w:kern w:val="0"/>
          <w:sz w:val="32"/>
          <w:szCs w:val="32"/>
        </w:rPr>
        <w:t>制定本</w:t>
      </w:r>
      <w:r>
        <w:rPr>
          <w:rFonts w:hint="eastAsia" w:ascii="仿宋_GB2312" w:hAnsi="楷体_GB2312" w:eastAsia="仿宋_GB2312" w:cs="楷体_GB2312"/>
          <w:spacing w:val="-6"/>
          <w:kern w:val="0"/>
          <w:sz w:val="32"/>
          <w:szCs w:val="32"/>
        </w:rPr>
        <w:t>市</w:t>
      </w:r>
      <w:r>
        <w:rPr>
          <w:rFonts w:ascii="仿宋_GB2312" w:hAnsi="楷体_GB2312" w:eastAsia="仿宋_GB2312" w:cs="楷体_GB2312"/>
          <w:spacing w:val="-6"/>
          <w:kern w:val="0"/>
          <w:sz w:val="32"/>
          <w:szCs w:val="32"/>
        </w:rPr>
        <w:t>生猪产能调控实施方案并组织实施的，得3分。将能繁母猪存栏量和规模猪场(户)保有量等指标任务下达到</w:t>
      </w:r>
      <w:r>
        <w:rPr>
          <w:rFonts w:hint="eastAsia" w:ascii="仿宋_GB2312" w:hAnsi="楷体_GB2312" w:eastAsia="仿宋_GB2312" w:cs="楷体_GB2312"/>
          <w:spacing w:val="-6"/>
          <w:kern w:val="0"/>
          <w:sz w:val="32"/>
          <w:szCs w:val="32"/>
        </w:rPr>
        <w:t>县（市、区）</w:t>
      </w:r>
      <w:r>
        <w:rPr>
          <w:rFonts w:ascii="仿宋_GB2312" w:hAnsi="楷体_GB2312" w:eastAsia="仿宋_GB2312" w:cs="楷体_GB2312"/>
          <w:spacing w:val="-6"/>
          <w:kern w:val="0"/>
          <w:sz w:val="32"/>
          <w:szCs w:val="32"/>
        </w:rPr>
        <w:t>的，得3分。重视生</w:t>
      </w:r>
      <w:r>
        <w:rPr>
          <w:rFonts w:hint="eastAsia" w:ascii="仿宋_GB2312" w:hAnsi="楷体_GB2312" w:eastAsia="仿宋_GB2312" w:cs="楷体_GB2312"/>
          <w:spacing w:val="-6"/>
          <w:kern w:val="0"/>
          <w:sz w:val="32"/>
          <w:szCs w:val="32"/>
        </w:rPr>
        <w:t>猪</w:t>
      </w:r>
      <w:r>
        <w:rPr>
          <w:rFonts w:ascii="仿宋_GB2312" w:hAnsi="楷体_GB2312" w:eastAsia="仿宋_GB2312" w:cs="楷体_GB2312"/>
          <w:spacing w:val="-6"/>
          <w:kern w:val="0"/>
          <w:sz w:val="32"/>
          <w:szCs w:val="32"/>
        </w:rPr>
        <w:t>生产监测工作，加强经费保障的，得1分;定期开展数据质量核查，没有出现明显数据质量问题的，得1分。全年未出现能繁母猪月度存栏量低于正常保有量的95％情形的，得6分。</w:t>
      </w:r>
    </w:p>
    <w:p>
      <w:pPr>
        <w:keepNext w:val="0"/>
        <w:keepLines w:val="0"/>
        <w:pageBreakBefore w:val="0"/>
        <w:kinsoku/>
        <w:wordWrap/>
        <w:overflowPunct/>
        <w:topLinePunct w:val="0"/>
        <w:autoSpaceDE/>
        <w:autoSpaceDN/>
        <w:bidi w:val="0"/>
        <w:spacing w:line="590" w:lineRule="exact"/>
        <w:ind w:left="0" w:leftChars="0" w:right="0" w:firstLine="640" w:firstLineChars="200"/>
        <w:rPr>
          <w:rFonts w:hint="eastAsia" w:ascii="仿宋_GB2312" w:hAnsi="楷体_GB2312" w:eastAsia="仿宋_GB2312" w:cs="楷体_GB2312"/>
          <w:kern w:val="0"/>
          <w:sz w:val="32"/>
          <w:szCs w:val="32"/>
        </w:rPr>
      </w:pPr>
      <w:r>
        <w:rPr>
          <w:rFonts w:ascii="黑体" w:hAnsi="黑体" w:eastAsia="黑体" w:cs="黑体"/>
          <w:kern w:val="0"/>
          <w:sz w:val="32"/>
          <w:szCs w:val="32"/>
        </w:rPr>
        <w:t>第九条</w:t>
      </w:r>
      <w:r>
        <w:rPr>
          <w:rFonts w:hint="eastAsia" w:ascii="黑体" w:hAnsi="黑体" w:eastAsia="黑体" w:cs="黑体"/>
          <w:kern w:val="0"/>
          <w:sz w:val="32"/>
          <w:szCs w:val="32"/>
        </w:rPr>
        <w:t xml:space="preserve">  </w:t>
      </w:r>
      <w:r>
        <w:rPr>
          <w:rFonts w:ascii="黑体" w:hAnsi="黑体" w:eastAsia="黑体" w:cs="黑体"/>
          <w:kern w:val="0"/>
          <w:sz w:val="32"/>
          <w:szCs w:val="32"/>
        </w:rPr>
        <w:t>落实生猪产能调控政策(加10分)。</w:t>
      </w:r>
      <w:r>
        <w:rPr>
          <w:rFonts w:ascii="仿宋_GB2312" w:hAnsi="楷体_GB2312" w:eastAsia="仿宋_GB2312" w:cs="楷体_GB2312"/>
          <w:kern w:val="0"/>
          <w:sz w:val="32"/>
          <w:szCs w:val="32"/>
        </w:rPr>
        <w:t>当本</w:t>
      </w:r>
      <w:r>
        <w:rPr>
          <w:rFonts w:hint="eastAsia" w:ascii="仿宋_GB2312" w:hAnsi="楷体_GB2312" w:eastAsia="仿宋_GB2312" w:cs="楷体_GB2312"/>
          <w:kern w:val="0"/>
          <w:sz w:val="32"/>
          <w:szCs w:val="32"/>
        </w:rPr>
        <w:t>市</w:t>
      </w:r>
      <w:r>
        <w:rPr>
          <w:rFonts w:ascii="仿宋_GB2312" w:hAnsi="楷体_GB2312" w:eastAsia="仿宋_GB2312" w:cs="楷体_GB2312"/>
          <w:kern w:val="0"/>
          <w:sz w:val="32"/>
          <w:szCs w:val="32"/>
        </w:rPr>
        <w:t>能繁母猪月度存栏量大幅减少或生猪养殖连续严重亏损3个月(含)以上时，按规定统筹相关资金对规模猪场(户)和种猪场(含地方保种场)给予一次性临时救助补贴的，加</w:t>
      </w:r>
      <w:r>
        <w:rPr>
          <w:rFonts w:hint="eastAsia" w:ascii="仿宋_GB2312" w:hAnsi="楷体_GB2312" w:eastAsia="仿宋_GB2312" w:cs="楷体_GB2312"/>
          <w:kern w:val="0"/>
          <w:sz w:val="32"/>
          <w:szCs w:val="32"/>
        </w:rPr>
        <w:t>3</w:t>
      </w:r>
      <w:r>
        <w:rPr>
          <w:rFonts w:ascii="仿宋_GB2312" w:hAnsi="楷体_GB2312" w:eastAsia="仿宋_GB2312" w:cs="楷体_GB2312"/>
          <w:kern w:val="0"/>
          <w:sz w:val="32"/>
          <w:szCs w:val="32"/>
        </w:rPr>
        <w:t>分。协调地方法人金融机构，扩大和</w:t>
      </w:r>
      <w:r>
        <w:rPr>
          <w:rFonts w:hint="eastAsia" w:ascii="仿宋_GB2312" w:hAnsi="楷体_GB2312" w:eastAsia="仿宋_GB2312" w:cs="楷体_GB2312"/>
          <w:kern w:val="0"/>
          <w:sz w:val="32"/>
          <w:szCs w:val="32"/>
        </w:rPr>
        <w:t>增</w:t>
      </w:r>
      <w:r>
        <w:rPr>
          <w:rFonts w:ascii="仿宋_GB2312" w:hAnsi="楷体_GB2312" w:eastAsia="仿宋_GB2312" w:cs="楷体_GB2312"/>
          <w:kern w:val="0"/>
          <w:sz w:val="32"/>
          <w:szCs w:val="32"/>
        </w:rPr>
        <w:t>加对符合条件的生</w:t>
      </w:r>
      <w:r>
        <w:rPr>
          <w:rFonts w:hint="eastAsia" w:ascii="仿宋_GB2312" w:hAnsi="楷体_GB2312" w:eastAsia="仿宋_GB2312" w:cs="楷体_GB2312"/>
          <w:kern w:val="0"/>
          <w:sz w:val="32"/>
          <w:szCs w:val="32"/>
        </w:rPr>
        <w:t>猪</w:t>
      </w:r>
      <w:r>
        <w:rPr>
          <w:rFonts w:ascii="仿宋_GB2312" w:hAnsi="楷体_GB2312" w:eastAsia="仿宋_GB2312" w:cs="楷体_GB2312"/>
          <w:kern w:val="0"/>
          <w:sz w:val="32"/>
          <w:szCs w:val="32"/>
        </w:rPr>
        <w:t>养殖场(户)信贷投放的，加2分;按规定统筹资金给予贷</w:t>
      </w:r>
      <w:r>
        <w:rPr>
          <w:rFonts w:hint="eastAsia" w:ascii="仿宋_GB2312" w:hAnsi="楷体_GB2312" w:eastAsia="仿宋_GB2312" w:cs="楷体_GB2312"/>
          <w:kern w:val="0"/>
          <w:sz w:val="32"/>
          <w:szCs w:val="32"/>
        </w:rPr>
        <w:t>款贴</w:t>
      </w:r>
      <w:r>
        <w:rPr>
          <w:rFonts w:ascii="仿宋_GB2312" w:hAnsi="楷体_GB2312" w:eastAsia="仿宋_GB2312" w:cs="楷体_GB2312"/>
          <w:kern w:val="0"/>
          <w:sz w:val="32"/>
          <w:szCs w:val="32"/>
        </w:rPr>
        <w:t>息补助的，加2分。出现种猪生产供应、新生仔猪数量或生</w:t>
      </w:r>
      <w:r>
        <w:rPr>
          <w:rFonts w:hint="eastAsia" w:ascii="仿宋_GB2312" w:hAnsi="楷体_GB2312" w:eastAsia="仿宋_GB2312" w:cs="楷体_GB2312"/>
          <w:kern w:val="0"/>
          <w:sz w:val="32"/>
          <w:szCs w:val="32"/>
        </w:rPr>
        <w:t>猪</w:t>
      </w:r>
      <w:r>
        <w:rPr>
          <w:rFonts w:ascii="仿宋_GB2312" w:hAnsi="楷体_GB2312" w:eastAsia="仿宋_GB2312" w:cs="楷体_GB2312"/>
          <w:kern w:val="0"/>
          <w:sz w:val="32"/>
          <w:szCs w:val="32"/>
        </w:rPr>
        <w:t>存栏量异常减少等情况时，及时研究并采取针对性政策措施的，以及结合实际出台其他政策措施调控产能的，每项政策加1分，最多加3分。</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ascii="黑体" w:hAnsi="黑体" w:eastAsia="黑体" w:cs="黑体"/>
          <w:kern w:val="0"/>
          <w:sz w:val="32"/>
          <w:szCs w:val="32"/>
        </w:rPr>
        <w:t>第十条</w:t>
      </w:r>
      <w:r>
        <w:rPr>
          <w:rFonts w:hint="eastAsia" w:ascii="黑体" w:hAnsi="黑体" w:eastAsia="黑体" w:cs="黑体"/>
          <w:kern w:val="0"/>
          <w:sz w:val="32"/>
          <w:szCs w:val="32"/>
        </w:rPr>
        <w:t xml:space="preserve">  </w:t>
      </w:r>
      <w:r>
        <w:rPr>
          <w:rFonts w:ascii="黑体" w:hAnsi="黑体" w:eastAsia="黑体" w:cs="黑体"/>
          <w:kern w:val="0"/>
          <w:sz w:val="32"/>
          <w:szCs w:val="32"/>
        </w:rPr>
        <w:t>考核形式。</w:t>
      </w:r>
      <w:r>
        <w:rPr>
          <w:rFonts w:hint="eastAsia" w:ascii="仿宋_GB2312" w:hAnsi="楷体_GB2312" w:eastAsia="仿宋_GB2312" w:cs="楷体_GB2312"/>
          <w:kern w:val="0"/>
          <w:sz w:val="32"/>
          <w:szCs w:val="32"/>
        </w:rPr>
        <w:t>各市</w:t>
      </w:r>
      <w:r>
        <w:rPr>
          <w:rFonts w:ascii="仿宋_GB2312" w:hAnsi="楷体_GB2312" w:eastAsia="仿宋_GB2312" w:cs="楷体_GB2312"/>
          <w:kern w:val="0"/>
          <w:sz w:val="32"/>
          <w:szCs w:val="32"/>
        </w:rPr>
        <w:t>农业农村部门对本</w:t>
      </w:r>
      <w:r>
        <w:rPr>
          <w:rFonts w:hint="eastAsia" w:ascii="仿宋_GB2312" w:hAnsi="楷体_GB2312" w:eastAsia="仿宋_GB2312" w:cs="楷体_GB2312"/>
          <w:kern w:val="0"/>
          <w:sz w:val="32"/>
          <w:szCs w:val="32"/>
        </w:rPr>
        <w:t>市</w:t>
      </w:r>
      <w:r>
        <w:rPr>
          <w:rFonts w:ascii="仿宋_GB2312" w:hAnsi="楷体_GB2312" w:eastAsia="仿宋_GB2312" w:cs="楷体_GB2312"/>
          <w:kern w:val="0"/>
          <w:sz w:val="32"/>
          <w:szCs w:val="32"/>
        </w:rPr>
        <w:t>生猪产能调控工作落实情况进行全面总结和自评，按要求形成自查报告并附</w:t>
      </w:r>
      <w:r>
        <w:rPr>
          <w:rFonts w:hint="eastAsia" w:ascii="仿宋_GB2312" w:hAnsi="楷体_GB2312" w:eastAsia="仿宋_GB2312" w:cs="楷体_GB2312"/>
          <w:kern w:val="0"/>
          <w:sz w:val="32"/>
          <w:szCs w:val="32"/>
        </w:rPr>
        <w:t>同</w:t>
      </w:r>
      <w:r>
        <w:rPr>
          <w:rFonts w:ascii="仿宋_GB2312" w:hAnsi="楷体_GB2312" w:eastAsia="仿宋_GB2312" w:cs="楷体_GB2312"/>
          <w:kern w:val="0"/>
          <w:sz w:val="32"/>
          <w:szCs w:val="32"/>
        </w:rPr>
        <w:t>级人民政府或有关部门文件等相关证明材料，于每个考核期次年3月底前，经</w:t>
      </w:r>
      <w:r>
        <w:rPr>
          <w:rFonts w:hint="eastAsia" w:ascii="仿宋_GB2312" w:hAnsi="楷体_GB2312" w:eastAsia="仿宋_GB2312" w:cs="楷体_GB2312"/>
          <w:kern w:val="0"/>
          <w:sz w:val="32"/>
          <w:szCs w:val="32"/>
        </w:rPr>
        <w:t>各市农业农村部门</w:t>
      </w:r>
      <w:r>
        <w:rPr>
          <w:rFonts w:ascii="仿宋_GB2312" w:hAnsi="楷体_GB2312" w:eastAsia="仿宋_GB2312" w:cs="楷体_GB2312"/>
          <w:kern w:val="0"/>
          <w:sz w:val="32"/>
          <w:szCs w:val="32"/>
        </w:rPr>
        <w:t>主要负责同志审核并盖章后报送</w:t>
      </w:r>
      <w:r>
        <w:rPr>
          <w:rFonts w:hint="eastAsia" w:ascii="仿宋_GB2312" w:hAnsi="楷体_GB2312" w:eastAsia="仿宋_GB2312" w:cs="楷体_GB2312"/>
          <w:kern w:val="0"/>
          <w:sz w:val="32"/>
          <w:szCs w:val="32"/>
        </w:rPr>
        <w:t>省</w:t>
      </w:r>
      <w:r>
        <w:rPr>
          <w:rFonts w:ascii="仿宋_GB2312" w:hAnsi="楷体_GB2312" w:eastAsia="仿宋_GB2312" w:cs="楷体_GB2312"/>
          <w:kern w:val="0"/>
          <w:sz w:val="32"/>
          <w:szCs w:val="32"/>
        </w:rPr>
        <w:t>农业农村</w:t>
      </w:r>
      <w:r>
        <w:rPr>
          <w:rFonts w:hint="eastAsia" w:ascii="仿宋_GB2312" w:hAnsi="楷体_GB2312" w:eastAsia="仿宋_GB2312" w:cs="楷体_GB2312"/>
          <w:kern w:val="0"/>
          <w:sz w:val="32"/>
          <w:szCs w:val="32"/>
        </w:rPr>
        <w:t>厅</w:t>
      </w:r>
      <w:r>
        <w:rPr>
          <w:rFonts w:ascii="仿宋_GB2312" w:hAnsi="楷体_GB2312" w:eastAsia="仿宋_GB2312" w:cs="楷体_GB2312"/>
          <w:kern w:val="0"/>
          <w:sz w:val="32"/>
          <w:szCs w:val="32"/>
        </w:rPr>
        <w:t>。</w:t>
      </w:r>
      <w:r>
        <w:rPr>
          <w:rFonts w:hint="eastAsia" w:ascii="仿宋_GB2312" w:hAnsi="楷体_GB2312" w:eastAsia="仿宋_GB2312" w:cs="楷体_GB2312"/>
          <w:kern w:val="0"/>
          <w:sz w:val="32"/>
          <w:szCs w:val="32"/>
        </w:rPr>
        <w:t>省</w:t>
      </w:r>
      <w:r>
        <w:rPr>
          <w:rFonts w:ascii="仿宋_GB2312" w:hAnsi="楷体_GB2312" w:eastAsia="仿宋_GB2312" w:cs="楷体_GB2312"/>
          <w:kern w:val="0"/>
          <w:sz w:val="32"/>
          <w:szCs w:val="32"/>
        </w:rPr>
        <w:t>农业农村</w:t>
      </w:r>
      <w:r>
        <w:rPr>
          <w:rFonts w:hint="eastAsia" w:ascii="仿宋_GB2312" w:hAnsi="楷体_GB2312" w:eastAsia="仿宋_GB2312" w:cs="楷体_GB2312"/>
          <w:kern w:val="0"/>
          <w:sz w:val="32"/>
          <w:szCs w:val="32"/>
        </w:rPr>
        <w:t>厅</w:t>
      </w:r>
      <w:r>
        <w:rPr>
          <w:rFonts w:ascii="仿宋_GB2312" w:hAnsi="楷体_GB2312" w:eastAsia="仿宋_GB2312" w:cs="楷体_GB2312"/>
          <w:kern w:val="0"/>
          <w:sz w:val="32"/>
          <w:szCs w:val="32"/>
        </w:rPr>
        <w:t>组织年度考核，并视工作需要开展现场核查。存在弄虚作假行为的，该考核期一律不得评为优秀等次。</w:t>
      </w:r>
      <w:r>
        <w:rPr>
          <w:rFonts w:hint="eastAsia" w:ascii="仿宋_GB2312" w:hAnsi="楷体_GB2312" w:eastAsia="仿宋_GB2312" w:cs="楷体_GB2312"/>
          <w:kern w:val="0"/>
          <w:sz w:val="32"/>
          <w:szCs w:val="32"/>
        </w:rPr>
        <w:t>省</w:t>
      </w:r>
      <w:r>
        <w:rPr>
          <w:rFonts w:ascii="仿宋_GB2312" w:hAnsi="楷体_GB2312" w:eastAsia="仿宋_GB2312" w:cs="楷体_GB2312"/>
          <w:kern w:val="0"/>
          <w:sz w:val="32"/>
          <w:szCs w:val="32"/>
        </w:rPr>
        <w:t>农业农村</w:t>
      </w:r>
      <w:r>
        <w:rPr>
          <w:rFonts w:hint="eastAsia" w:ascii="仿宋_GB2312" w:hAnsi="楷体_GB2312" w:eastAsia="仿宋_GB2312" w:cs="楷体_GB2312"/>
          <w:kern w:val="0"/>
          <w:sz w:val="32"/>
          <w:szCs w:val="32"/>
        </w:rPr>
        <w:t>厅</w:t>
      </w:r>
      <w:r>
        <w:rPr>
          <w:rFonts w:ascii="仿宋_GB2312" w:hAnsi="楷体_GB2312" w:eastAsia="仿宋_GB2312" w:cs="楷体_GB2312"/>
          <w:kern w:val="0"/>
          <w:sz w:val="32"/>
          <w:szCs w:val="32"/>
        </w:rPr>
        <w:t>以适当形式通报考核结果，并约谈生猪产能调控不力的</w:t>
      </w:r>
      <w:r>
        <w:rPr>
          <w:rFonts w:hint="eastAsia" w:ascii="仿宋_GB2312" w:hAnsi="楷体_GB2312" w:eastAsia="仿宋_GB2312" w:cs="楷体_GB2312"/>
          <w:kern w:val="0"/>
          <w:sz w:val="32"/>
          <w:szCs w:val="32"/>
        </w:rPr>
        <w:t>市</w:t>
      </w:r>
      <w:r>
        <w:rPr>
          <w:rFonts w:ascii="仿宋_GB2312" w:hAnsi="楷体_GB2312" w:eastAsia="仿宋_GB2312" w:cs="楷体_GB2312"/>
          <w:kern w:val="0"/>
          <w:sz w:val="32"/>
          <w:szCs w:val="32"/>
        </w:rPr>
        <w:t>级人民政府负责同志。</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ascii="黑体" w:hAnsi="黑体" w:eastAsia="黑体" w:cs="黑体"/>
          <w:kern w:val="0"/>
          <w:sz w:val="32"/>
          <w:szCs w:val="32"/>
        </w:rPr>
        <w:t>第十ー条</w:t>
      </w:r>
      <w:r>
        <w:rPr>
          <w:rFonts w:hint="eastAsia" w:ascii="黑体" w:hAnsi="黑体" w:eastAsia="黑体" w:cs="黑体"/>
          <w:kern w:val="0"/>
          <w:sz w:val="32"/>
          <w:szCs w:val="32"/>
        </w:rPr>
        <w:t xml:space="preserve">  </w:t>
      </w:r>
      <w:r>
        <w:rPr>
          <w:rFonts w:ascii="黑体" w:hAnsi="黑体" w:eastAsia="黑体" w:cs="黑体"/>
          <w:kern w:val="0"/>
          <w:sz w:val="32"/>
          <w:szCs w:val="32"/>
        </w:rPr>
        <w:t>考核报批。</w:t>
      </w:r>
      <w:r>
        <w:rPr>
          <w:rFonts w:ascii="仿宋_GB2312" w:hAnsi="楷体_GB2312" w:eastAsia="仿宋_GB2312" w:cs="楷体_GB2312"/>
          <w:kern w:val="0"/>
          <w:sz w:val="32"/>
          <w:szCs w:val="32"/>
        </w:rPr>
        <w:t>根据有关规定，对</w:t>
      </w:r>
      <w:r>
        <w:rPr>
          <w:rFonts w:hint="eastAsia" w:ascii="仿宋_GB2312" w:hAnsi="楷体_GB2312" w:eastAsia="仿宋_GB2312" w:cs="楷体_GB2312"/>
          <w:kern w:val="0"/>
          <w:sz w:val="32"/>
          <w:szCs w:val="32"/>
        </w:rPr>
        <w:t>市</w:t>
      </w:r>
      <w:r>
        <w:rPr>
          <w:rFonts w:ascii="仿宋_GB2312" w:hAnsi="楷体_GB2312" w:eastAsia="仿宋_GB2312" w:cs="楷体_GB2312"/>
          <w:kern w:val="0"/>
          <w:sz w:val="32"/>
          <w:szCs w:val="32"/>
        </w:rPr>
        <w:t>级农业农村部门的考核工作由</w:t>
      </w:r>
      <w:r>
        <w:rPr>
          <w:rFonts w:hint="eastAsia" w:ascii="仿宋_GB2312" w:hAnsi="楷体_GB2312" w:eastAsia="仿宋_GB2312" w:cs="楷体_GB2312"/>
          <w:kern w:val="0"/>
          <w:sz w:val="32"/>
          <w:szCs w:val="32"/>
        </w:rPr>
        <w:t>省</w:t>
      </w:r>
      <w:r>
        <w:rPr>
          <w:rFonts w:ascii="仿宋_GB2312" w:hAnsi="楷体_GB2312" w:eastAsia="仿宋_GB2312" w:cs="楷体_GB2312"/>
          <w:kern w:val="0"/>
          <w:sz w:val="32"/>
          <w:szCs w:val="32"/>
        </w:rPr>
        <w:t>农业农村</w:t>
      </w:r>
      <w:r>
        <w:rPr>
          <w:rFonts w:hint="eastAsia" w:ascii="仿宋_GB2312" w:hAnsi="楷体_GB2312" w:eastAsia="仿宋_GB2312" w:cs="楷体_GB2312"/>
          <w:kern w:val="0"/>
          <w:sz w:val="32"/>
          <w:szCs w:val="32"/>
        </w:rPr>
        <w:t>厅</w:t>
      </w:r>
      <w:r>
        <w:rPr>
          <w:rFonts w:ascii="仿宋_GB2312" w:hAnsi="楷体_GB2312" w:eastAsia="仿宋_GB2312" w:cs="楷体_GB2312"/>
          <w:kern w:val="0"/>
          <w:sz w:val="32"/>
          <w:szCs w:val="32"/>
        </w:rPr>
        <w:t>每年报批后组织实施。</w:t>
      </w:r>
    </w:p>
    <w:p>
      <w:pPr>
        <w:keepNext w:val="0"/>
        <w:keepLines w:val="0"/>
        <w:pageBreakBefore w:val="0"/>
        <w:kinsoku/>
        <w:wordWrap/>
        <w:overflowPunct/>
        <w:topLinePunct w:val="0"/>
        <w:autoSpaceDE/>
        <w:autoSpaceDN/>
        <w:bidi w:val="0"/>
        <w:spacing w:line="590" w:lineRule="exact"/>
        <w:ind w:left="0" w:leftChars="0" w:right="0" w:firstLine="640" w:firstLineChars="200"/>
        <w:rPr>
          <w:rFonts w:ascii="仿宋_GB2312" w:hAnsi="楷体_GB2312" w:eastAsia="仿宋_GB2312" w:cs="楷体_GB2312"/>
          <w:kern w:val="0"/>
          <w:sz w:val="32"/>
          <w:szCs w:val="32"/>
        </w:rPr>
      </w:pPr>
      <w:r>
        <w:rPr>
          <w:rFonts w:ascii="黑体" w:hAnsi="黑体" w:eastAsia="黑体" w:cs="黑体"/>
          <w:kern w:val="0"/>
          <w:sz w:val="32"/>
          <w:szCs w:val="32"/>
        </w:rPr>
        <w:t>第十二条</w:t>
      </w:r>
      <w:r>
        <w:rPr>
          <w:rFonts w:hint="eastAsia" w:ascii="黑体" w:hAnsi="黑体" w:eastAsia="黑体" w:cs="黑体"/>
          <w:kern w:val="0"/>
          <w:sz w:val="32"/>
          <w:szCs w:val="32"/>
        </w:rPr>
        <w:t xml:space="preserve">  </w:t>
      </w:r>
      <w:r>
        <w:rPr>
          <w:rFonts w:ascii="黑体" w:hAnsi="黑体" w:eastAsia="黑体" w:cs="黑体"/>
          <w:kern w:val="0"/>
          <w:sz w:val="32"/>
          <w:szCs w:val="32"/>
        </w:rPr>
        <w:t>附则。</w:t>
      </w:r>
      <w:r>
        <w:rPr>
          <w:rFonts w:ascii="仿宋_GB2312" w:hAnsi="楷体_GB2312" w:eastAsia="仿宋_GB2312" w:cs="楷体_GB2312"/>
          <w:kern w:val="0"/>
          <w:sz w:val="32"/>
          <w:szCs w:val="32"/>
        </w:rPr>
        <w:t>本实施细则由</w:t>
      </w:r>
      <w:r>
        <w:rPr>
          <w:rFonts w:hint="eastAsia" w:ascii="仿宋_GB2312" w:hAnsi="楷体_GB2312" w:eastAsia="仿宋_GB2312" w:cs="楷体_GB2312"/>
          <w:kern w:val="0"/>
          <w:sz w:val="32"/>
          <w:szCs w:val="32"/>
        </w:rPr>
        <w:t>山西省</w:t>
      </w:r>
      <w:r>
        <w:rPr>
          <w:rFonts w:ascii="仿宋_GB2312" w:hAnsi="楷体_GB2312" w:eastAsia="仿宋_GB2312" w:cs="楷体_GB2312"/>
          <w:kern w:val="0"/>
          <w:sz w:val="32"/>
          <w:szCs w:val="32"/>
        </w:rPr>
        <w:t>农业农村</w:t>
      </w:r>
      <w:r>
        <w:rPr>
          <w:rFonts w:hint="eastAsia" w:ascii="仿宋_GB2312" w:hAnsi="楷体_GB2312" w:eastAsia="仿宋_GB2312" w:cs="楷体_GB2312"/>
          <w:kern w:val="0"/>
          <w:sz w:val="32"/>
          <w:szCs w:val="32"/>
        </w:rPr>
        <w:t>厅</w:t>
      </w:r>
      <w:r>
        <w:rPr>
          <w:rFonts w:ascii="仿宋_GB2312" w:hAnsi="楷体_GB2312" w:eastAsia="仿宋_GB2312" w:cs="楷体_GB2312"/>
          <w:kern w:val="0"/>
          <w:sz w:val="32"/>
          <w:szCs w:val="32"/>
        </w:rPr>
        <w:t>负责解释，自</w:t>
      </w:r>
      <w:r>
        <w:rPr>
          <w:rFonts w:hint="eastAsia" w:ascii="仿宋_GB2312" w:hAnsi="楷体_GB2312" w:eastAsia="仿宋_GB2312" w:cs="楷体_GB2312"/>
          <w:kern w:val="0"/>
          <w:sz w:val="32"/>
          <w:szCs w:val="32"/>
          <w:lang w:val="en-US" w:eastAsia="zh-CN"/>
        </w:rPr>
        <w:t>2022年</w:t>
      </w:r>
      <w:r>
        <w:rPr>
          <w:rFonts w:ascii="仿宋_GB2312" w:hAnsi="楷体_GB2312" w:eastAsia="仿宋_GB2312" w:cs="楷体_GB2312"/>
          <w:kern w:val="0"/>
          <w:sz w:val="32"/>
          <w:szCs w:val="32"/>
        </w:rPr>
        <w:t>起</w:t>
      </w:r>
      <w:r>
        <w:rPr>
          <w:rFonts w:hint="eastAsia" w:ascii="仿宋_GB2312" w:hAnsi="楷体_GB2312" w:eastAsia="仿宋_GB2312" w:cs="楷体_GB2312"/>
          <w:kern w:val="0"/>
          <w:sz w:val="32"/>
          <w:szCs w:val="32"/>
          <w:lang w:eastAsia="zh-CN"/>
        </w:rPr>
        <w:t>实行，有效期</w:t>
      </w:r>
      <w:r>
        <w:rPr>
          <w:rFonts w:hint="eastAsia" w:ascii="仿宋_GB2312" w:hAnsi="楷体_GB2312" w:eastAsia="仿宋_GB2312" w:cs="楷体_GB2312"/>
          <w:kern w:val="0"/>
          <w:sz w:val="32"/>
          <w:szCs w:val="32"/>
          <w:lang w:val="en-US" w:eastAsia="zh-CN"/>
        </w:rPr>
        <w:t>2年</w:t>
      </w:r>
      <w:r>
        <w:rPr>
          <w:rFonts w:ascii="仿宋_GB2312" w:hAnsi="楷体_GB2312" w:eastAsia="仿宋_GB2312" w:cs="楷体_GB2312"/>
          <w:kern w:val="0"/>
          <w:sz w:val="32"/>
          <w:szCs w:val="32"/>
        </w:rPr>
        <w:t>。各</w:t>
      </w:r>
      <w:r>
        <w:rPr>
          <w:rFonts w:hint="eastAsia" w:ascii="仿宋_GB2312" w:hAnsi="楷体_GB2312" w:eastAsia="仿宋_GB2312" w:cs="楷体_GB2312"/>
          <w:kern w:val="0"/>
          <w:sz w:val="32"/>
          <w:szCs w:val="32"/>
        </w:rPr>
        <w:t>市要</w:t>
      </w:r>
      <w:r>
        <w:rPr>
          <w:rFonts w:ascii="仿宋_GB2312" w:hAnsi="楷体_GB2312" w:eastAsia="仿宋_GB2312" w:cs="楷体_GB2312"/>
          <w:kern w:val="0"/>
          <w:sz w:val="32"/>
          <w:szCs w:val="32"/>
        </w:rPr>
        <w:t>结合实际制定</w:t>
      </w:r>
      <w:r>
        <w:rPr>
          <w:rFonts w:hint="eastAsia" w:ascii="仿宋_GB2312" w:hAnsi="楷体_GB2312" w:eastAsia="仿宋_GB2312" w:cs="楷体_GB2312"/>
          <w:kern w:val="0"/>
          <w:sz w:val="32"/>
          <w:szCs w:val="32"/>
        </w:rPr>
        <w:t>本市</w:t>
      </w:r>
      <w:r>
        <w:rPr>
          <w:rFonts w:ascii="仿宋_GB2312" w:hAnsi="楷体_GB2312" w:eastAsia="仿宋_GB2312" w:cs="楷体_GB2312"/>
          <w:kern w:val="0"/>
          <w:sz w:val="32"/>
          <w:szCs w:val="32"/>
        </w:rPr>
        <w:t>生猪产能调控工作考核实施细则。</w:t>
      </w:r>
    </w:p>
    <w:p>
      <w:pPr>
        <w:keepNext w:val="0"/>
        <w:keepLines w:val="0"/>
        <w:pageBreakBefore w:val="0"/>
        <w:tabs>
          <w:tab w:val="left" w:pos="1880"/>
        </w:tabs>
        <w:kinsoku/>
        <w:wordWrap/>
        <w:overflowPunct/>
        <w:topLinePunct w:val="0"/>
        <w:autoSpaceDE/>
        <w:autoSpaceDN/>
        <w:bidi w:val="0"/>
        <w:spacing w:line="590" w:lineRule="exact"/>
        <w:ind w:left="0" w:leftChars="0" w:right="0"/>
        <w:jc w:val="center"/>
        <w:rPr>
          <w:rFonts w:ascii="仿宋_GB2312" w:hAnsi="楷体_GB2312" w:eastAsia="仿宋_GB2312" w:cs="楷体_GB2312"/>
          <w:kern w:val="0"/>
          <w:sz w:val="32"/>
          <w:szCs w:val="32"/>
        </w:rPr>
      </w:pPr>
    </w:p>
    <w:p>
      <w:pPr>
        <w:keepNext w:val="0"/>
        <w:keepLines w:val="0"/>
        <w:pageBreakBefore w:val="0"/>
        <w:kinsoku/>
        <w:wordWrap/>
        <w:overflowPunct/>
        <w:topLinePunct w:val="0"/>
        <w:autoSpaceDE/>
        <w:autoSpaceDN/>
        <w:bidi w:val="0"/>
        <w:spacing w:line="590" w:lineRule="exact"/>
        <w:ind w:left="0" w:leftChars="0" w:right="0"/>
        <w:rPr>
          <w:rFonts w:hint="default"/>
          <w:sz w:val="32"/>
          <w:szCs w:val="32"/>
          <w:lang w:val="en-US" w:eastAsia="zh-CN"/>
        </w:rPr>
      </w:pPr>
    </w:p>
    <w:p>
      <w:bookmarkStart w:id="0" w:name="_GoBack"/>
      <w:bookmarkEnd w:id="0"/>
    </w:p>
    <w:sectPr>
      <w:footerReference r:id="rId3" w:type="default"/>
      <w:pgSz w:w="11906" w:h="16838"/>
      <w:pgMar w:top="1814" w:right="1531" w:bottom="1757" w:left="1531"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NWUyZDZiYzdlZjc3M2I1YzMwZWEzNzNiYjM0NmUifQ=="/>
  </w:docVars>
  <w:rsids>
    <w:rsidRoot w:val="50F947C1"/>
    <w:rsid w:val="2C850463"/>
    <w:rsid w:val="46292F0A"/>
    <w:rsid w:val="50F94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4188</Words>
  <Characters>4390</Characters>
  <Lines>0</Lines>
  <Paragraphs>0</Paragraphs>
  <TotalTime>0</TotalTime>
  <ScaleCrop>false</ScaleCrop>
  <LinksUpToDate>false</LinksUpToDate>
  <CharactersWithSpaces>4431</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2022-12-01T09:11:00Z</dcterms:created>
  <dc:creator>Administrator</dc:creator>
  <cp:lastModifiedBy>Administrator</cp:lastModifiedBy>
  <dcterms:modified xsi:type="dcterms:W3CDTF">2022-12-01T09:12:00Z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9788822CE32C46A8A9FFD396E2CF7202</vt:lpwstr>
  </property>
</Properties>
</file>