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 w:cs="黑体"/>
          <w:sz w:val="24"/>
          <w:szCs w:val="24"/>
          <w:lang w:bidi="ar-SA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1"/>
          <w:lang w:bidi="ar-SA"/>
        </w:rPr>
        <w:t>附件1</w:t>
      </w:r>
    </w:p>
    <w:p>
      <w:pPr>
        <w:widowControl/>
        <w:autoSpaceDN w:val="0"/>
        <w:spacing w:line="375" w:lineRule="atLeast"/>
        <w:jc w:val="center"/>
        <w:rPr>
          <w:rFonts w:hint="eastAsia" w:ascii="方正小标宋简体" w:eastAsia="方正小标宋简体" w:cs="方正小标宋简体"/>
          <w:b/>
          <w:kern w:val="0"/>
          <w:sz w:val="40"/>
          <w:szCs w:val="40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  <w:lang w:bidi="ar-SA"/>
        </w:rPr>
        <w:t>产能</w:t>
      </w:r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  <w:lang w:eastAsia="zh-CN" w:bidi="ar-SA"/>
        </w:rPr>
        <w:t>核</w:t>
      </w:r>
      <w:r>
        <w:rPr>
          <w:rFonts w:hint="eastAsia" w:ascii="方正小标宋简体" w:eastAsia="方正小标宋简体" w:cs="方正小标宋简体"/>
          <w:bCs/>
          <w:kern w:val="0"/>
          <w:sz w:val="40"/>
          <w:szCs w:val="40"/>
          <w:lang w:bidi="ar-SA"/>
        </w:rPr>
        <w:t>算表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atLeast"/>
        <w:ind w:left="0" w:right="0" w:firstLine="640"/>
        <w:textAlignment w:val="auto"/>
        <w:outlineLvl w:val="0"/>
        <w:rPr>
          <w:rFonts w:hint="eastAsia" w:ascii="黑体" w:eastAsia="黑体" w:cs="黑体"/>
          <w:bCs/>
          <w:kern w:val="0"/>
          <w:sz w:val="28"/>
          <w:szCs w:val="21"/>
          <w:lang w:bidi="ar-SA"/>
        </w:rPr>
      </w:pPr>
      <w:r>
        <w:rPr>
          <w:rFonts w:hint="eastAsia" w:ascii="黑体" w:eastAsia="黑体" w:cs="黑体"/>
          <w:bCs/>
          <w:kern w:val="0"/>
          <w:sz w:val="28"/>
          <w:szCs w:val="21"/>
          <w:lang w:bidi="ar-SA"/>
        </w:rPr>
        <w:t>一、</w:t>
      </w:r>
      <w:r>
        <w:rPr>
          <w:rFonts w:hint="eastAsia" w:ascii="黑体" w:eastAsia="黑体" w:cs="黑体"/>
          <w:bCs/>
          <w:kern w:val="0"/>
          <w:sz w:val="28"/>
          <w:szCs w:val="21"/>
          <w:lang w:eastAsia="zh-CN" w:bidi="ar-SA"/>
        </w:rPr>
        <w:t>炼铁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atLeast"/>
        <w:ind w:left="0" w:right="0"/>
        <w:jc w:val="center"/>
        <w:textAlignment w:val="auto"/>
        <w:rPr>
          <w:rFonts w:hint="eastAsia" w:ascii="仿宋_GB2312" w:eastAsia="仿宋_GB2312"/>
          <w:kern w:val="0"/>
          <w:sz w:val="28"/>
          <w:szCs w:val="21"/>
        </w:rPr>
      </w:pPr>
      <w:r>
        <w:rPr>
          <w:rFonts w:hint="default" w:ascii="Times New Roman" w:hAnsi="Times New Roman" w:eastAsia="仿宋_GB2312"/>
          <w:kern w:val="0"/>
          <w:sz w:val="28"/>
          <w:szCs w:val="21"/>
        </w:rPr>
        <w:t>表1  高炉产能</w:t>
      </w:r>
      <w:r>
        <w:rPr>
          <w:rFonts w:hint="eastAsia" w:ascii="Times New Roman" w:hAnsi="Times New Roman" w:eastAsia="仿宋_GB2312"/>
          <w:kern w:val="0"/>
          <w:sz w:val="28"/>
          <w:szCs w:val="21"/>
          <w:lang w:eastAsia="zh-CN"/>
        </w:rPr>
        <w:t>核算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3339"/>
        <w:gridCol w:w="36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2"/>
                <w:szCs w:val="22"/>
                <w:lang w:bidi="ar-SA"/>
              </w:rPr>
              <w:t>有效容积（立方米）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_GB2312" w:eastAsia="仿宋_GB2312" w:cs="仿宋_GB2312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kern w:val="0"/>
                <w:sz w:val="22"/>
                <w:szCs w:val="22"/>
                <w:lang w:bidi="ar-SA"/>
              </w:rPr>
              <w:t>产能（万吨/年）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420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450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480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530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550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580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630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750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850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1000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1080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1200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1250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1280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1350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1500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1580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1780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2000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2200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187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2500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2580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2650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2750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2800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2850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3200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3800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4000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4350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4747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5100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5500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3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5800</w:t>
            </w:r>
          </w:p>
        </w:tc>
        <w:tc>
          <w:tcPr>
            <w:tcW w:w="36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463</w:t>
            </w:r>
          </w:p>
        </w:tc>
      </w:tr>
    </w:tbl>
    <w:p>
      <w:pPr>
        <w:widowControl/>
        <w:autoSpaceDN w:val="0"/>
        <w:ind w:firstLine="640"/>
        <w:rPr>
          <w:rFonts w:hint="eastAsia" w:ascii="仿宋_GB2312" w:eastAsia="仿宋_GB2312" w:cs="仿宋_GB2312"/>
          <w:kern w:val="0"/>
          <w:sz w:val="22"/>
          <w:szCs w:val="21"/>
          <w:lang w:bidi="ar-SA"/>
        </w:rPr>
      </w:pPr>
      <w:r>
        <w:rPr>
          <w:rFonts w:hint="eastAsia" w:ascii="仿宋_GB2312" w:eastAsia="仿宋_GB2312" w:cs="仿宋_GB2312"/>
          <w:b/>
          <w:kern w:val="0"/>
          <w:sz w:val="22"/>
          <w:szCs w:val="21"/>
          <w:lang w:bidi="ar-SA"/>
        </w:rPr>
        <w:t>备注：</w:t>
      </w:r>
      <w:r>
        <w:rPr>
          <w:rFonts w:hint="eastAsia" w:ascii="仿宋_GB2312" w:eastAsia="仿宋_GB2312" w:cs="仿宋_GB2312"/>
          <w:kern w:val="0"/>
          <w:sz w:val="22"/>
          <w:szCs w:val="21"/>
          <w:lang w:bidi="ar-SA"/>
        </w:rPr>
        <w:t>高炉有效容积在上表中两档之间的，按插值法计算其产能</w:t>
      </w:r>
      <w:r>
        <w:rPr>
          <w:rFonts w:hint="eastAsia" w:ascii="仿宋_GB2312" w:eastAsia="仿宋_GB2312" w:cs="仿宋_GB2312"/>
          <w:kern w:val="0"/>
          <w:sz w:val="22"/>
          <w:szCs w:val="21"/>
          <w:lang w:eastAsia="zh-CN" w:bidi="ar-SA"/>
        </w:rPr>
        <w:t>，建设高炉的有效容积须为</w:t>
      </w:r>
      <w:r>
        <w:rPr>
          <w:rFonts w:hint="eastAsia" w:ascii="仿宋_GB2312" w:eastAsia="仿宋_GB2312" w:cs="仿宋_GB2312"/>
          <w:kern w:val="0"/>
          <w:sz w:val="22"/>
          <w:szCs w:val="21"/>
          <w:lang w:val="en-US" w:eastAsia="zh-CN" w:bidi="ar-SA"/>
        </w:rPr>
        <w:t>10的整倍数</w:t>
      </w:r>
      <w:r>
        <w:rPr>
          <w:rFonts w:hint="eastAsia" w:ascii="仿宋_GB2312" w:eastAsia="仿宋_GB2312" w:cs="仿宋_GB2312"/>
          <w:kern w:val="0"/>
          <w:sz w:val="22"/>
          <w:szCs w:val="21"/>
          <w:lang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atLeast"/>
        <w:ind w:left="0" w:right="0" w:firstLine="640"/>
        <w:jc w:val="both"/>
        <w:textAlignment w:val="auto"/>
        <w:outlineLvl w:val="0"/>
        <w:rPr>
          <w:rFonts w:hint="eastAsia" w:ascii="黑体" w:eastAsia="黑体" w:cs="黑体"/>
          <w:bCs/>
          <w:kern w:val="0"/>
          <w:sz w:val="16"/>
          <w:szCs w:val="16"/>
          <w:lang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right="0" w:firstLine="640"/>
        <w:jc w:val="both"/>
        <w:textAlignment w:val="auto"/>
        <w:outlineLvl w:val="0"/>
        <w:rPr>
          <w:rFonts w:hint="eastAsia" w:ascii="黑体" w:eastAsia="黑体" w:cs="黑体"/>
          <w:bCs/>
          <w:kern w:val="0"/>
          <w:sz w:val="28"/>
          <w:szCs w:val="21"/>
          <w:lang w:bidi="ar-SA"/>
        </w:rPr>
      </w:pPr>
      <w:r>
        <w:rPr>
          <w:rFonts w:hint="eastAsia" w:ascii="黑体" w:eastAsia="黑体" w:cs="黑体"/>
          <w:bCs/>
          <w:kern w:val="0"/>
          <w:sz w:val="28"/>
          <w:szCs w:val="21"/>
          <w:lang w:eastAsia="zh-CN" w:bidi="ar-SA"/>
        </w:rPr>
        <w:t>二</w:t>
      </w:r>
      <w:r>
        <w:rPr>
          <w:rFonts w:hint="eastAsia" w:ascii="黑体" w:eastAsia="黑体" w:cs="黑体"/>
          <w:bCs/>
          <w:kern w:val="0"/>
          <w:sz w:val="28"/>
          <w:szCs w:val="21"/>
          <w:lang w:bidi="ar-SA"/>
        </w:rPr>
        <w:t>、</w:t>
      </w:r>
      <w:r>
        <w:rPr>
          <w:rFonts w:hint="eastAsia" w:ascii="黑体" w:eastAsia="黑体" w:cs="黑体"/>
          <w:bCs/>
          <w:kern w:val="0"/>
          <w:sz w:val="28"/>
          <w:szCs w:val="21"/>
          <w:lang w:eastAsia="zh-CN" w:bidi="ar-SA"/>
        </w:rPr>
        <w:t>炼钢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right="0"/>
        <w:jc w:val="both"/>
        <w:textAlignment w:val="auto"/>
        <w:rPr>
          <w:rFonts w:hint="eastAsia" w:ascii="仿宋_GB2312" w:eastAsia="仿宋_GB2312"/>
          <w:kern w:val="0"/>
          <w:sz w:val="28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8"/>
          <w:szCs w:val="21"/>
          <w:lang w:val="en-US" w:eastAsia="zh-CN"/>
        </w:rPr>
        <w:t xml:space="preserve">    （一）转炉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right="0"/>
        <w:jc w:val="center"/>
        <w:textAlignment w:val="auto"/>
        <w:rPr>
          <w:rFonts w:hint="eastAsia" w:ascii="仿宋" w:eastAsia="仿宋"/>
          <w:kern w:val="0"/>
          <w:sz w:val="28"/>
          <w:szCs w:val="21"/>
        </w:rPr>
      </w:pPr>
      <w:r>
        <w:rPr>
          <w:rFonts w:hint="default" w:ascii="Times New Roman" w:hAnsi="Times New Roman" w:eastAsia="仿宋_GB2312"/>
          <w:kern w:val="0"/>
          <w:sz w:val="28"/>
          <w:szCs w:val="21"/>
        </w:rPr>
        <w:t xml:space="preserve">表2  </w:t>
      </w:r>
      <w:r>
        <w:rPr>
          <w:rFonts w:hint="eastAsia" w:ascii="仿宋" w:eastAsia="仿宋"/>
          <w:kern w:val="0"/>
          <w:sz w:val="28"/>
          <w:szCs w:val="21"/>
        </w:rPr>
        <w:t>转炉产能</w:t>
      </w:r>
      <w:r>
        <w:rPr>
          <w:rFonts w:hint="eastAsia" w:ascii="仿宋" w:eastAsia="仿宋"/>
          <w:kern w:val="0"/>
          <w:sz w:val="28"/>
          <w:szCs w:val="21"/>
          <w:lang w:eastAsia="zh-CN"/>
        </w:rPr>
        <w:t>核算</w:t>
      </w:r>
    </w:p>
    <w:tbl>
      <w:tblPr>
        <w:tblStyle w:val="3"/>
        <w:tblpPr w:leftFromText="180" w:rightFromText="180" w:vertAnchor="text" w:horzAnchor="page" w:tblpX="1868" w:tblpY="9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256"/>
        <w:gridCol w:w="3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  <w:t>公称容量（吨）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  <w:t>产能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  <w:t>（万吨/年）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135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240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2"/>
                <w:szCs w:val="22"/>
                <w:lang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3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2"/>
                <w:szCs w:val="22"/>
                <w:lang w:val="en-US" w:eastAsia="zh-CN" w:bidi="ar"/>
              </w:rPr>
              <w:t>350</w:t>
            </w:r>
          </w:p>
        </w:tc>
        <w:tc>
          <w:tcPr>
            <w:tcW w:w="3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2"/>
                <w:szCs w:val="22"/>
                <w:lang w:val="en-US" w:eastAsia="zh-CN" w:bidi="ar"/>
              </w:rPr>
              <w:t>350</w:t>
            </w:r>
          </w:p>
        </w:tc>
      </w:tr>
    </w:tbl>
    <w:p>
      <w:pPr>
        <w:widowControl/>
        <w:autoSpaceDN w:val="0"/>
        <w:ind w:firstLine="640"/>
        <w:rPr>
          <w:rFonts w:hint="default" w:ascii="Times New Roman" w:hAnsi="Times New Roman" w:eastAsia="仿宋_GB2312" w:cs="Times New Roman"/>
          <w:kern w:val="0"/>
          <w:sz w:val="22"/>
          <w:szCs w:val="21"/>
          <w:lang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22"/>
          <w:szCs w:val="21"/>
          <w:lang w:bidi="ar-SA"/>
        </w:rPr>
        <w:t>备注：</w:t>
      </w:r>
      <w:r>
        <w:rPr>
          <w:rFonts w:hint="default" w:ascii="Times New Roman" w:hAnsi="Times New Roman" w:eastAsia="仿宋_GB2312" w:cs="Times New Roman"/>
          <w:kern w:val="0"/>
          <w:sz w:val="22"/>
          <w:szCs w:val="21"/>
          <w:lang w:bidi="ar-SA"/>
        </w:rPr>
        <w:t>转炉公称容量在上表中两档之间的，按插值法</w:t>
      </w:r>
      <w:r>
        <w:rPr>
          <w:rFonts w:ascii="Times New Roman" w:hAnsi="Times New Roman" w:eastAsia="仿宋_GB2312" w:cs="Times New Roman"/>
          <w:kern w:val="0"/>
          <w:sz w:val="22"/>
          <w:szCs w:val="21"/>
          <w:lang w:bidi="ar-SA"/>
        </w:rPr>
        <w:t>换</w:t>
      </w:r>
      <w:r>
        <w:rPr>
          <w:rFonts w:hint="default" w:ascii="Times New Roman" w:hAnsi="Times New Roman" w:eastAsia="仿宋_GB2312" w:cs="Times New Roman"/>
          <w:kern w:val="0"/>
          <w:sz w:val="22"/>
          <w:szCs w:val="21"/>
          <w:lang w:bidi="ar-SA"/>
        </w:rPr>
        <w:t>算其产能</w:t>
      </w:r>
      <w:r>
        <w:rPr>
          <w:rFonts w:hint="eastAsia" w:ascii="Times New Roman" w:hAnsi="Times New Roman" w:eastAsia="仿宋_GB2312" w:cs="Times New Roman"/>
          <w:kern w:val="0"/>
          <w:sz w:val="22"/>
          <w:szCs w:val="21"/>
          <w:lang w:eastAsia="zh-CN" w:bidi="ar-SA"/>
        </w:rPr>
        <w:t>，建设转炉的公称容量须为</w:t>
      </w:r>
      <w:r>
        <w:rPr>
          <w:rFonts w:hint="eastAsia" w:ascii="Times New Roman" w:hAnsi="Times New Roman" w:eastAsia="仿宋_GB2312" w:cs="Times New Roman"/>
          <w:kern w:val="0"/>
          <w:sz w:val="22"/>
          <w:szCs w:val="21"/>
          <w:lang w:val="en-US" w:eastAsia="zh-CN" w:bidi="ar-SA"/>
        </w:rPr>
        <w:t>10的整数倍</w:t>
      </w:r>
      <w:r>
        <w:rPr>
          <w:rFonts w:hint="default" w:ascii="Times New Roman" w:hAnsi="Times New Roman" w:eastAsia="仿宋_GB2312" w:cs="Times New Roman"/>
          <w:kern w:val="0"/>
          <w:sz w:val="22"/>
          <w:szCs w:val="21"/>
          <w:lang w:bidi="ar-SA"/>
        </w:rPr>
        <w:t>。</w:t>
      </w:r>
    </w:p>
    <w:p>
      <w:pPr>
        <w:widowControl/>
        <w:autoSpaceDN w:val="0"/>
        <w:ind w:firstLine="640"/>
        <w:rPr>
          <w:rFonts w:hint="eastAsia" w:ascii="仿宋" w:eastAsia="仿宋" w:cs="仿宋"/>
          <w:kern w:val="0"/>
          <w:sz w:val="22"/>
          <w:szCs w:val="21"/>
          <w:lang w:bidi="ar-SA"/>
        </w:rPr>
      </w:pPr>
      <w:r>
        <w:rPr>
          <w:rFonts w:ascii="Times New Roman" w:hAnsi="Times New Roman" w:eastAsia="仿宋_GB2312" w:cs="Times New Roman"/>
          <w:kern w:val="0"/>
          <w:sz w:val="22"/>
          <w:szCs w:val="21"/>
          <w:lang w:bidi="ar-SA"/>
        </w:rPr>
        <w:t>作为不锈钢冶炼主体设备的AOD炉，按上表标准的60%换算其产能。</w:t>
      </w:r>
      <w:r>
        <w:rPr>
          <w:rFonts w:hint="eastAsia" w:ascii="仿宋" w:eastAsia="仿宋" w:cs="仿宋"/>
          <w:kern w:val="0"/>
          <w:sz w:val="22"/>
          <w:szCs w:val="21"/>
          <w:lang w:bidi="ar-SA"/>
        </w:rPr>
        <w:t xml:space="preserve"> </w:t>
      </w:r>
    </w:p>
    <w:p>
      <w:pPr>
        <w:widowControl/>
        <w:autoSpaceDN w:val="0"/>
        <w:ind w:firstLine="640"/>
        <w:jc w:val="both"/>
        <w:rPr>
          <w:rFonts w:hint="eastAsia" w:ascii="仿宋_GB2312" w:eastAsia="仿宋_GB2312"/>
          <w:kern w:val="0"/>
          <w:sz w:val="16"/>
          <w:szCs w:val="1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right="0" w:firstLine="640"/>
        <w:jc w:val="both"/>
        <w:textAlignment w:val="auto"/>
        <w:outlineLvl w:val="9"/>
        <w:rPr>
          <w:rFonts w:hint="eastAsia" w:ascii="仿宋_GB2312" w:eastAsia="仿宋_GB2312"/>
          <w:kern w:val="0"/>
          <w:sz w:val="28"/>
          <w:szCs w:val="21"/>
        </w:rPr>
      </w:pPr>
      <w:r>
        <w:rPr>
          <w:rFonts w:hint="eastAsia" w:ascii="仿宋_GB2312" w:eastAsia="仿宋_GB2312"/>
          <w:kern w:val="0"/>
          <w:sz w:val="28"/>
          <w:szCs w:val="21"/>
          <w:lang w:val="en-US" w:eastAsia="zh-CN"/>
        </w:rPr>
        <w:t>（二）电炉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00" w:lineRule="exact"/>
        <w:ind w:left="0" w:right="0" w:firstLine="640"/>
        <w:jc w:val="center"/>
        <w:textAlignment w:val="auto"/>
        <w:outlineLvl w:val="9"/>
        <w:rPr>
          <w:rFonts w:hint="default" w:ascii="Times New Roman" w:hAnsi="Times New Roman" w:eastAsia="仿宋_GB2312"/>
          <w:kern w:val="0"/>
          <w:sz w:val="28"/>
          <w:szCs w:val="21"/>
        </w:rPr>
      </w:pPr>
      <w:r>
        <w:rPr>
          <w:rFonts w:hint="default" w:ascii="Times New Roman" w:hAnsi="Times New Roman" w:eastAsia="仿宋_GB2312"/>
          <w:kern w:val="0"/>
          <w:sz w:val="28"/>
          <w:szCs w:val="21"/>
        </w:rPr>
        <w:t>表</w:t>
      </w:r>
      <w:r>
        <w:rPr>
          <w:rFonts w:hint="eastAsia" w:ascii="Times New Roman" w:hAnsi="Times New Roman" w:eastAsia="仿宋_GB2312"/>
          <w:kern w:val="0"/>
          <w:sz w:val="28"/>
          <w:szCs w:val="21"/>
          <w:lang w:val="en-US" w:eastAsia="zh-CN"/>
        </w:rPr>
        <w:t>3</w:t>
      </w:r>
      <w:r>
        <w:rPr>
          <w:rFonts w:hint="default" w:ascii="Times New Roman" w:hAnsi="Times New Roman" w:eastAsia="仿宋_GB2312"/>
          <w:kern w:val="0"/>
          <w:sz w:val="28"/>
          <w:szCs w:val="21"/>
        </w:rPr>
        <w:t xml:space="preserve">  电炉产能</w:t>
      </w:r>
      <w:r>
        <w:rPr>
          <w:rFonts w:hint="eastAsia" w:ascii="Times New Roman" w:hAnsi="Times New Roman" w:eastAsia="仿宋_GB2312"/>
          <w:kern w:val="0"/>
          <w:sz w:val="28"/>
          <w:szCs w:val="21"/>
          <w:lang w:eastAsia="zh-CN"/>
        </w:rPr>
        <w:t>核算</w:t>
      </w:r>
    </w:p>
    <w:tbl>
      <w:tblPr>
        <w:tblStyle w:val="3"/>
        <w:tblpPr w:leftFromText="180" w:rightFromText="180" w:vertAnchor="text" w:horzAnchor="page" w:tblpX="1763" w:tblpY="300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699"/>
        <w:gridCol w:w="36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  <w:t>公称容量（吨）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bidi="ar-SA"/>
              </w:rPr>
              <w:t>产能（万吨/年）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14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99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367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lang w:bidi="ar"/>
              </w:rPr>
              <w:t>180</w:t>
            </w:r>
          </w:p>
        </w:tc>
      </w:tr>
    </w:tbl>
    <w:p>
      <w:pPr>
        <w:widowControl/>
        <w:autoSpaceDN w:val="0"/>
        <w:spacing w:line="300" w:lineRule="exact"/>
        <w:ind w:firstLine="640"/>
        <w:jc w:val="center"/>
        <w:rPr>
          <w:rFonts w:hint="eastAsia" w:ascii="仿宋_GB2312" w:eastAsia="仿宋_GB2312"/>
          <w:kern w:val="0"/>
          <w:sz w:val="28"/>
          <w:szCs w:val="21"/>
        </w:rPr>
      </w:pPr>
    </w:p>
    <w:p>
      <w:pPr>
        <w:widowControl/>
        <w:autoSpaceDN w:val="0"/>
        <w:ind w:firstLine="640"/>
        <w:rPr>
          <w:rFonts w:hint="eastAsia" w:ascii="仿宋_GB2312" w:eastAsia="仿宋_GB2312" w:cs="仿宋_GB2312"/>
          <w:kern w:val="0"/>
          <w:sz w:val="22"/>
          <w:szCs w:val="21"/>
          <w:lang w:bidi="ar-SA"/>
        </w:rPr>
      </w:pPr>
      <w:r>
        <w:rPr>
          <w:rFonts w:hint="eastAsia" w:ascii="仿宋_GB2312" w:eastAsia="仿宋_GB2312" w:cs="仿宋_GB2312"/>
          <w:b/>
          <w:kern w:val="0"/>
          <w:sz w:val="22"/>
          <w:szCs w:val="21"/>
          <w:lang w:bidi="ar-SA"/>
        </w:rPr>
        <w:t>备注</w:t>
      </w:r>
      <w:r>
        <w:rPr>
          <w:rFonts w:hint="eastAsia" w:ascii="仿宋_GB2312" w:eastAsia="仿宋_GB2312" w:cs="仿宋_GB2312"/>
          <w:kern w:val="0"/>
          <w:sz w:val="22"/>
          <w:szCs w:val="21"/>
          <w:lang w:bidi="ar-SA"/>
        </w:rPr>
        <w:t>：电炉公称容量在上表中两档之间的，按插值法换算其产能</w:t>
      </w:r>
      <w:r>
        <w:rPr>
          <w:rFonts w:hint="eastAsia" w:ascii="仿宋_GB2312" w:eastAsia="仿宋_GB2312" w:cs="仿宋_GB2312"/>
          <w:kern w:val="0"/>
          <w:sz w:val="22"/>
          <w:szCs w:val="21"/>
          <w:lang w:eastAsia="zh-CN" w:bidi="ar-SA"/>
        </w:rPr>
        <w:t>，建设电炉的公称容量须为</w:t>
      </w:r>
      <w:r>
        <w:rPr>
          <w:rFonts w:hint="eastAsia" w:ascii="仿宋_GB2312" w:eastAsia="仿宋_GB2312" w:cs="仿宋_GB2312"/>
          <w:kern w:val="0"/>
          <w:sz w:val="22"/>
          <w:szCs w:val="21"/>
          <w:lang w:val="en-US" w:eastAsia="zh-CN" w:bidi="ar-SA"/>
        </w:rPr>
        <w:t>5的整数倍</w:t>
      </w:r>
      <w:r>
        <w:rPr>
          <w:rFonts w:hint="eastAsia" w:ascii="仿宋_GB2312" w:eastAsia="仿宋_GB2312" w:cs="仿宋_GB2312"/>
          <w:kern w:val="0"/>
          <w:sz w:val="22"/>
          <w:szCs w:val="21"/>
          <w:lang w:bidi="ar-SA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GU5OTE3Zjc1OWRiMDVhN2JiNDBhMmE3ZjJhMmMifQ=="/>
  </w:docVars>
  <w:rsids>
    <w:rsidRoot w:val="3B14482E"/>
    <w:rsid w:val="3B14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2023-04-24T02:02:00Z</dcterms:created>
  <dc:creator>查无此人</dc:creator>
  <cp:lastModifiedBy>查无此人</cp:lastModifiedBy>
  <dcterms:modified xsi:type="dcterms:W3CDTF">2023-04-24T02:02:45Z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F51E7450241742148B88EB5A84B344C0_11</vt:lpwstr>
  </property>
</Properties>
</file>